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  <w:lang w:val="ky-KG"/>
        </w:rPr>
      </w:pPr>
      <w:bookmarkStart w:id="0" w:name="_GoBack"/>
      <w:bookmarkEnd w:id="0"/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  <w:lang w:val="ky-KG"/>
        </w:rPr>
      </w:pPr>
      <w:r w:rsidRPr="00FE4204">
        <w:rPr>
          <w:rStyle w:val="2"/>
          <w:rFonts w:eastAsiaTheme="minorHAnsi"/>
          <w:lang w:val="ky-KG"/>
        </w:rPr>
        <w:t>1-тиркеме</w:t>
      </w:r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B10FA" w:rsidRPr="00FE4204" w:rsidTr="00E74D69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0FA" w:rsidRPr="00FE4204" w:rsidRDefault="002B10FA" w:rsidP="00B83F15">
            <w:pPr>
              <w:spacing w:after="0" w:line="240" w:lineRule="auto"/>
              <w:ind w:right="-109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 w:eastAsia="ky-KG"/>
              </w:rPr>
            </w:pPr>
            <w:r w:rsidRPr="00FE4204">
              <w:rPr>
                <w:rFonts w:ascii="Times New Roman" w:eastAsia="Times New Roman" w:hAnsi="Times New Roman"/>
                <w:sz w:val="28"/>
                <w:szCs w:val="28"/>
                <w:lang w:val="ky-KG" w:eastAsia="ky-KG"/>
              </w:rPr>
              <w:t>“2-тиркеме</w:t>
            </w:r>
          </w:p>
        </w:tc>
      </w:tr>
      <w:tr w:rsidR="002B10FA" w:rsidRPr="00FE4204" w:rsidTr="00E74D69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0FA" w:rsidRPr="00FE4204" w:rsidRDefault="002B10FA" w:rsidP="00B83F1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ky-KG"/>
              </w:rPr>
            </w:pPr>
          </w:p>
        </w:tc>
      </w:tr>
    </w:tbl>
    <w:p w:rsidR="002B10FA" w:rsidRPr="00FE4204" w:rsidRDefault="00E74D69" w:rsidP="00E74D69">
      <w:pPr>
        <w:pStyle w:val="ac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FE4204">
        <w:rPr>
          <w:rFonts w:ascii="Times New Roman" w:hAnsi="Times New Roman"/>
          <w:b/>
          <w:sz w:val="28"/>
          <w:szCs w:val="28"/>
          <w:lang w:val="ky-KG"/>
        </w:rPr>
        <w:t>Кыргыз Республикасынын аймагында санариптик идентификациялоо каражаттары менен милдеттүү маркалоого тийиш болгон өндүрүлүүчү же импорттолуучу/ташылып киргизилүүчү жана сатып өткөрүлүүчү товарлардын айрым түрлөрүнүн тизмеси жана милдеттүү маркалоону киргизүүнүн мөөнөттөрү</w:t>
      </w:r>
    </w:p>
    <w:p w:rsidR="00E74D69" w:rsidRPr="00FE4204" w:rsidRDefault="00E74D69" w:rsidP="00E74D69">
      <w:pPr>
        <w:pStyle w:val="ac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 w:bidi="ru-RU"/>
        </w:rPr>
      </w:pPr>
    </w:p>
    <w:tbl>
      <w:tblPr>
        <w:tblStyle w:val="ad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2580"/>
        <w:gridCol w:w="2693"/>
        <w:gridCol w:w="1683"/>
        <w:gridCol w:w="18"/>
        <w:gridCol w:w="1814"/>
      </w:tblGrid>
      <w:tr w:rsidR="002B10FA" w:rsidRPr="00FE4204" w:rsidTr="005F68E1">
        <w:tc>
          <w:tcPr>
            <w:tcW w:w="392" w:type="dxa"/>
            <w:vAlign w:val="center"/>
          </w:tcPr>
          <w:p w:rsidR="002B10FA" w:rsidRPr="00FE4204" w:rsidRDefault="002B10FA" w:rsidP="00D20D4E">
            <w:pPr>
              <w:jc w:val="center"/>
              <w:rPr>
                <w:rStyle w:val="2"/>
                <w:rFonts w:eastAsia="CordiaUPC"/>
                <w:b/>
                <w:sz w:val="24"/>
                <w:szCs w:val="24"/>
              </w:rPr>
            </w:pPr>
          </w:p>
          <w:p w:rsidR="002B10FA" w:rsidRPr="00FE4204" w:rsidRDefault="002B10FA" w:rsidP="00D20D4E">
            <w:pPr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204">
              <w:rPr>
                <w:rStyle w:val="2"/>
                <w:rFonts w:eastAsia="CordiaUPC"/>
                <w:b/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4204">
              <w:rPr>
                <w:rStyle w:val="20"/>
                <w:rFonts w:eastAsia="Arial Unicode MS"/>
                <w:sz w:val="24"/>
                <w:szCs w:val="24"/>
                <w:lang w:val="ky-KG"/>
              </w:rPr>
              <w:t>Товарлардын аталыштары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Style w:val="20"/>
                <w:rFonts w:eastAsia="Arial Unicode MS"/>
                <w:b w:val="0"/>
                <w:sz w:val="24"/>
                <w:szCs w:val="24"/>
                <w:lang w:val="ky-KG"/>
              </w:rPr>
            </w:pPr>
            <w:r w:rsidRPr="00FE4204">
              <w:rPr>
                <w:rStyle w:val="20"/>
                <w:rFonts w:eastAsia="Arial Unicode MS"/>
                <w:sz w:val="24"/>
                <w:szCs w:val="24"/>
                <w:lang w:val="ky-KG"/>
              </w:rPr>
              <w:t>Евразия экономикалык бирлигинин тышкы экономикалык иштеринин товардык номенклатурасынын коду</w:t>
            </w:r>
          </w:p>
          <w:p w:rsidR="002B10FA" w:rsidRPr="00FE4204" w:rsidRDefault="002B10FA" w:rsidP="00D20D4E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FE4204">
              <w:rPr>
                <w:rStyle w:val="20"/>
                <w:rFonts w:eastAsia="Arial Unicode MS"/>
                <w:sz w:val="24"/>
                <w:szCs w:val="24"/>
              </w:rPr>
              <w:t>(</w:t>
            </w:r>
            <w:r w:rsidRPr="00FE4204">
              <w:rPr>
                <w:rStyle w:val="20"/>
                <w:rFonts w:eastAsia="Arial Unicode MS"/>
                <w:sz w:val="24"/>
                <w:szCs w:val="24"/>
                <w:lang w:val="ky-KG"/>
              </w:rPr>
              <w:t>ЕАЭБ ТЭИ ТН</w:t>
            </w:r>
            <w:r w:rsidRPr="00FE4204">
              <w:rPr>
                <w:rStyle w:val="20"/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420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  <w:t>Маркалоону киргизүү мөөнөтү</w:t>
            </w:r>
          </w:p>
        </w:tc>
        <w:tc>
          <w:tcPr>
            <w:tcW w:w="1814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420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  <w:t>Маркаланба-ган продукцияны сатууга тыюу салуу</w:t>
            </w:r>
            <w:r w:rsidR="00E74D69" w:rsidRPr="00FE420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  <w:t>ну киргизүү</w:t>
            </w:r>
            <w:r w:rsidRPr="00FE420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y-KG"/>
              </w:rPr>
              <w:t xml:space="preserve"> мөөнөтү</w:t>
            </w:r>
          </w:p>
        </w:tc>
      </w:tr>
      <w:tr w:rsidR="002B10FA" w:rsidRPr="00FE4204" w:rsidTr="005F68E1">
        <w:tc>
          <w:tcPr>
            <w:tcW w:w="392" w:type="dxa"/>
            <w:vMerge w:val="restart"/>
          </w:tcPr>
          <w:p w:rsidR="002B10FA" w:rsidRPr="00FE4204" w:rsidRDefault="002B10FA" w:rsidP="00D20D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B10FA" w:rsidRPr="00FE4204" w:rsidRDefault="002B10FA" w:rsidP="00D20D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10FA" w:rsidRPr="00FE4204" w:rsidRDefault="002B10FA" w:rsidP="00D20D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Арак 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220860</w:t>
            </w:r>
          </w:p>
        </w:tc>
        <w:tc>
          <w:tcPr>
            <w:tcW w:w="1683" w:type="dxa"/>
            <w:vMerge w:val="restart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</w:rPr>
              <w:t>202</w:t>
            </w: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1-жылдын 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1-апрели 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A52431" w:rsidRPr="00FE4204" w:rsidRDefault="002B10FA" w:rsidP="00D20D4E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2021-жылдын </w:t>
            </w:r>
          </w:p>
          <w:p w:rsidR="002B10FA" w:rsidRPr="00FE4204" w:rsidRDefault="002B10FA" w:rsidP="00D20D4E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>1-октябры</w:t>
            </w:r>
            <w:r w:rsidR="00A52431" w:rsidRPr="00FE4204">
              <w:rPr>
                <w:rFonts w:ascii="Times New Roman" w:hAnsi="Times New Roman"/>
                <w:sz w:val="24"/>
                <w:szCs w:val="24"/>
                <w:lang w:val="ky-KG"/>
              </w:rPr>
              <w:t>нан тартып</w:t>
            </w:r>
          </w:p>
        </w:tc>
      </w:tr>
      <w:tr w:rsidR="002B10FA" w:rsidRPr="00FE4204" w:rsidTr="005F68E1"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Ликер-арак ичимдиктери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220830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220870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220890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Align w:val="bottom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Күчтүү суусундуктар,  күчтүү ширелер жана бальзам</w:t>
            </w:r>
            <w:r w:rsidR="005F68E1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дар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220840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220850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Шараптар </w:t>
            </w:r>
          </w:p>
        </w:tc>
        <w:tc>
          <w:tcPr>
            <w:tcW w:w="2693" w:type="dxa"/>
            <w:vAlign w:val="center"/>
          </w:tcPr>
          <w:p w:rsidR="005F68E1" w:rsidRPr="00FE4204" w:rsidRDefault="005F68E1" w:rsidP="005F68E1">
            <w:pPr>
              <w:pStyle w:val="a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4204">
              <w:rPr>
                <w:rFonts w:ascii="Times New Roman" w:hAnsi="Times New Roman"/>
                <w:sz w:val="28"/>
                <w:szCs w:val="28"/>
                <w:lang w:val="ky-KG" w:eastAsia="ru-RU"/>
              </w:rPr>
              <w:t xml:space="preserve">220410 жана 220430 кошпогондо, </w:t>
            </w:r>
          </w:p>
          <w:p w:rsidR="002B10FA" w:rsidRPr="00FE4204" w:rsidRDefault="005F68E1" w:rsidP="005F68E1">
            <w:pPr>
              <w:pStyle w:val="ae"/>
              <w:rPr>
                <w:sz w:val="24"/>
                <w:szCs w:val="24"/>
                <w:lang w:eastAsia="ru-RU"/>
              </w:rPr>
            </w:pPr>
            <w:r w:rsidRPr="00FE4204">
              <w:rPr>
                <w:rFonts w:ascii="Times New Roman" w:hAnsi="Times New Roman"/>
                <w:bCs/>
                <w:iCs/>
                <w:sz w:val="28"/>
                <w:szCs w:val="28"/>
                <w:lang w:val="ky-KG" w:eastAsia="ru-RU"/>
              </w:rPr>
              <w:t>2204, 2205, 2206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rPr>
          <w:trHeight w:val="1137"/>
        </w:trPr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Коньяк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тар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коньяк спиртинен башка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2208201200 - 2208202900, 2208206200 - 2208208900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2B10FA" w:rsidRPr="00FE4204" w:rsidRDefault="00AA3C3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Шуулдама 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шарап</w:t>
            </w:r>
            <w:r w:rsidR="00A52431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,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шампанды кошкондо  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220410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c>
          <w:tcPr>
            <w:tcW w:w="392" w:type="dxa"/>
            <w:vMerge/>
            <w:vAlign w:val="bottom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Align w:val="bottom"/>
          </w:tcPr>
          <w:p w:rsidR="002B10FA" w:rsidRPr="00FE4204" w:rsidRDefault="005F68E1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Алкоголу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аз 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ичимдиктер 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220890</w:t>
            </w:r>
          </w:p>
        </w:tc>
        <w:tc>
          <w:tcPr>
            <w:tcW w:w="1683" w:type="dxa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vMerge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FA" w:rsidRPr="00FE4204" w:rsidTr="005F68E1">
        <w:tc>
          <w:tcPr>
            <w:tcW w:w="392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2B10FA" w:rsidRPr="00FE4204" w:rsidRDefault="002B10FA" w:rsidP="00B83F15">
            <w:pPr>
              <w:jc w:val="both"/>
              <w:rPr>
                <w:rStyle w:val="2"/>
                <w:rFonts w:eastAsia="CordiaUPC"/>
                <w:sz w:val="24"/>
                <w:szCs w:val="24"/>
                <w:lang w:val="ky-KG"/>
              </w:rPr>
            </w:pPr>
            <w:r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 xml:space="preserve">Тамекилер (чыпкалуу жана чыпкасыз) жана тамеки менен </w:t>
            </w:r>
            <w:r w:rsidR="00664D6E"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 xml:space="preserve">ысытылуучу </w:t>
            </w:r>
            <w:r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 xml:space="preserve">буюмдар (ысытылуучу </w:t>
            </w:r>
            <w:r w:rsidR="005F68E1"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>тамеки таякчасы, тамеки</w:t>
            </w:r>
            <w:r w:rsidR="00A52431"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 xml:space="preserve">си </w:t>
            </w:r>
            <w:r w:rsidR="00664D6E"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 xml:space="preserve">бар </w:t>
            </w:r>
            <w:r w:rsidRPr="00FE4204">
              <w:rPr>
                <w:rStyle w:val="2"/>
                <w:rFonts w:eastAsia="CordiaUPC"/>
                <w:sz w:val="24"/>
                <w:szCs w:val="24"/>
                <w:lang w:val="ky-KG"/>
              </w:rPr>
              <w:t>ысытылуучу капсула)</w:t>
            </w:r>
          </w:p>
        </w:tc>
        <w:tc>
          <w:tcPr>
            <w:tcW w:w="2693" w:type="dxa"/>
            <w:vAlign w:val="center"/>
          </w:tcPr>
          <w:p w:rsidR="002B10FA" w:rsidRPr="00FE4204" w:rsidRDefault="002B10FA" w:rsidP="00D20D4E">
            <w:pPr>
              <w:jc w:val="center"/>
              <w:rPr>
                <w:rStyle w:val="2"/>
                <w:rFonts w:eastAsia="CordiaUPC"/>
                <w:sz w:val="24"/>
                <w:szCs w:val="24"/>
              </w:rPr>
            </w:pPr>
            <w:r w:rsidRPr="00FE4204">
              <w:rPr>
                <w:rStyle w:val="2"/>
                <w:rFonts w:eastAsia="CordiaUPC"/>
                <w:sz w:val="24"/>
                <w:szCs w:val="24"/>
              </w:rPr>
              <w:t>2402</w:t>
            </w:r>
          </w:p>
        </w:tc>
        <w:tc>
          <w:tcPr>
            <w:tcW w:w="1683" w:type="dxa"/>
            <w:vMerge/>
            <w:vAlign w:val="center"/>
          </w:tcPr>
          <w:p w:rsidR="002B10FA" w:rsidRPr="00FE4204" w:rsidRDefault="002B10FA" w:rsidP="00D20D4E">
            <w:pPr>
              <w:jc w:val="center"/>
              <w:rPr>
                <w:rStyle w:val="2"/>
                <w:rFonts w:eastAsia="CordiaUPC"/>
                <w:sz w:val="24"/>
                <w:szCs w:val="24"/>
                <w:lang w:val="ky-KG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</w:tbl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</w:rPr>
      </w:pPr>
      <w:r w:rsidRPr="00FE4204">
        <w:rPr>
          <w:rStyle w:val="2"/>
          <w:rFonts w:eastAsiaTheme="minorHAnsi"/>
          <w:lang w:val="ky-KG"/>
        </w:rPr>
        <w:t>”.</w:t>
      </w:r>
      <w:r w:rsidRPr="00FE4204">
        <w:rPr>
          <w:rStyle w:val="2"/>
          <w:rFonts w:eastAsiaTheme="minorHAnsi"/>
        </w:rPr>
        <w:br w:type="page"/>
      </w:r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  <w:lang w:val="ky-KG"/>
        </w:rPr>
      </w:pPr>
      <w:r w:rsidRPr="00FE4204">
        <w:rPr>
          <w:rStyle w:val="2"/>
          <w:rFonts w:eastAsiaTheme="minorHAnsi"/>
          <w:lang w:val="ky-KG"/>
        </w:rPr>
        <w:lastRenderedPageBreak/>
        <w:t>2-тиркеме</w:t>
      </w:r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</w:rPr>
      </w:pPr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  <w:lang w:val="ky-KG"/>
        </w:rPr>
      </w:pPr>
      <w:r w:rsidRPr="00FE4204">
        <w:rPr>
          <w:rStyle w:val="2"/>
          <w:rFonts w:eastAsiaTheme="minorHAnsi"/>
          <w:lang w:val="ky-KG"/>
        </w:rPr>
        <w:t>“2-тиркеме</w:t>
      </w:r>
    </w:p>
    <w:p w:rsidR="002B10FA" w:rsidRPr="00FE4204" w:rsidRDefault="002B10FA" w:rsidP="002B10FA">
      <w:pPr>
        <w:spacing w:after="0" w:line="240" w:lineRule="auto"/>
        <w:jc w:val="right"/>
        <w:rPr>
          <w:rStyle w:val="2"/>
          <w:rFonts w:eastAsiaTheme="minorHAnsi"/>
          <w:lang w:val="ky-KG"/>
        </w:rPr>
      </w:pPr>
    </w:p>
    <w:p w:rsidR="005F68E1" w:rsidRPr="00FE4204" w:rsidRDefault="005F68E1" w:rsidP="002B1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FE4204"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Республикасынын аймагында өндүрүлүүчү же импорттолуучу/ташылып келүүчү жана сатылуучу товарлардын идентификациялоо каражаттары менен ыктыярдуу </w:t>
      </w:r>
    </w:p>
    <w:p w:rsidR="005F68E1" w:rsidRPr="00FE4204" w:rsidRDefault="005F68E1" w:rsidP="002B10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FE4204">
        <w:rPr>
          <w:rFonts w:ascii="Times New Roman" w:hAnsi="Times New Roman"/>
          <w:b/>
          <w:sz w:val="28"/>
          <w:szCs w:val="28"/>
          <w:lang w:val="ky-KG"/>
        </w:rPr>
        <w:t>маркаланууга тийиш айрым түрлөрүнүн</w:t>
      </w:r>
    </w:p>
    <w:p w:rsidR="00B83F15" w:rsidRPr="00FE4204" w:rsidRDefault="005F68E1" w:rsidP="00B83F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FE4204">
        <w:rPr>
          <w:rFonts w:ascii="Times New Roman" w:hAnsi="Times New Roman"/>
          <w:b/>
          <w:sz w:val="28"/>
          <w:szCs w:val="28"/>
          <w:lang w:val="ky-KG"/>
        </w:rPr>
        <w:t xml:space="preserve"> тизмеги</w:t>
      </w:r>
    </w:p>
    <w:tbl>
      <w:tblPr>
        <w:tblStyle w:val="a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3969"/>
      </w:tblGrid>
      <w:tr w:rsidR="002B10FA" w:rsidRPr="00FE4204" w:rsidTr="00E77FF3">
        <w:tc>
          <w:tcPr>
            <w:tcW w:w="568" w:type="dxa"/>
          </w:tcPr>
          <w:p w:rsidR="002B10FA" w:rsidRPr="00FE4204" w:rsidRDefault="002B10FA" w:rsidP="00D20D4E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:rsidR="002B10FA" w:rsidRPr="00FE4204" w:rsidRDefault="002B10FA" w:rsidP="00E77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  <w:t xml:space="preserve">Товарлардын </w:t>
            </w:r>
            <w:r w:rsidR="00E77FF3" w:rsidRPr="00FE4204">
              <w:rPr>
                <w:rStyle w:val="20"/>
                <w:rFonts w:eastAsia="Arial Unicode MS"/>
                <w:sz w:val="24"/>
                <w:szCs w:val="24"/>
                <w:lang w:val="ky-KG"/>
              </w:rPr>
              <w:t>аталыштары</w:t>
            </w:r>
          </w:p>
        </w:tc>
        <w:tc>
          <w:tcPr>
            <w:tcW w:w="3969" w:type="dxa"/>
            <w:vAlign w:val="center"/>
          </w:tcPr>
          <w:p w:rsidR="002B10FA" w:rsidRPr="00FE4204" w:rsidRDefault="002B10FA" w:rsidP="00E77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  <w:t>Евразия экономикалык бирлигинин тышкы экономикалык ишинин товардык номенклатурасынын коду</w:t>
            </w:r>
          </w:p>
          <w:p w:rsidR="002B10FA" w:rsidRPr="00FE4204" w:rsidRDefault="002B10FA" w:rsidP="00E77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  <w:t>(ЕАЭБ ТЭИ ТН)</w:t>
            </w:r>
          </w:p>
        </w:tc>
      </w:tr>
      <w:tr w:rsidR="002B10FA" w:rsidRPr="00FE4204" w:rsidTr="00D20D4E">
        <w:tc>
          <w:tcPr>
            <w:tcW w:w="568" w:type="dxa"/>
            <w:vMerge w:val="restart"/>
          </w:tcPr>
          <w:p w:rsidR="002B10FA" w:rsidRPr="00FE4204" w:rsidRDefault="002B10FA" w:rsidP="00D20D4E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  <w:t>Алкоголдук продукция: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Арак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220860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Ликер-арак ичимдиктери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220830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220870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220890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Күчтүү суусундуктар, күчтүү ширелер жана бальзам</w:t>
            </w:r>
            <w:r w:rsidR="00AE1BE7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дар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220840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220850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Шараптар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220410 жана 220430 кошпогондо,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2204, 2205,</w:t>
            </w:r>
            <w:r w:rsidR="00AE1BE7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2206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Коньяктар (коньяк спиртинен тышкары)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2208201200 - 2208202900,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2208206200 - 2208208900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664D6E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Шуулдама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 шараптар, шампанды кошкондо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220410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AE1BE7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Алкоголу аз </w:t>
            </w:r>
            <w:r w:rsidR="002B10FA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ичимдиктер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220890</w:t>
            </w:r>
          </w:p>
        </w:tc>
      </w:tr>
      <w:tr w:rsidR="002B10FA" w:rsidRPr="00FE4204" w:rsidTr="00D20D4E">
        <w:tc>
          <w:tcPr>
            <w:tcW w:w="568" w:type="dxa"/>
          </w:tcPr>
          <w:p w:rsidR="002B10FA" w:rsidRPr="00FE4204" w:rsidRDefault="002B10FA" w:rsidP="00D20D4E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Тамекилер (чыпкалуу жана чыпкасыз) жана тамеки менен </w:t>
            </w:r>
            <w:r w:rsidR="00664D6E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ысытылуучу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буюмдар (ысытылуучу тамеки таякчасы, тамеки</w:t>
            </w:r>
            <w:r w:rsidR="00664D6E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си бар</w:t>
            </w:r>
            <w:r w:rsidR="00AE1BE7"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 xml:space="preserve"> </w:t>
            </w: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ысытылуучу капсула)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2402</w:t>
            </w:r>
          </w:p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2403</w:t>
            </w:r>
          </w:p>
        </w:tc>
      </w:tr>
      <w:tr w:rsidR="002B10FA" w:rsidRPr="00FE4204" w:rsidTr="00D20D4E">
        <w:tc>
          <w:tcPr>
            <w:tcW w:w="568" w:type="dxa"/>
            <w:vMerge w:val="restart"/>
          </w:tcPr>
          <w:p w:rsidR="002B10FA" w:rsidRPr="00FE4204" w:rsidRDefault="002B10FA" w:rsidP="00D20D4E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b/>
                <w:sz w:val="24"/>
                <w:szCs w:val="24"/>
                <w:lang w:val="ky-KG" w:eastAsia="ky-KG"/>
              </w:rPr>
              <w:t>Бут кийим товарлары: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AE1BE7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Үстү таманына жип менен да, шпилька, мык менен да, </w:t>
            </w:r>
            <w:r w:rsidR="009F4DCF" w:rsidRPr="00FE4204">
              <w:rPr>
                <w:rFonts w:ascii="Times New Roman" w:hAnsi="Times New Roman"/>
                <w:sz w:val="24"/>
                <w:szCs w:val="24"/>
                <w:lang w:val="ky-KG"/>
              </w:rPr>
              <w:t>бурама</w:t>
            </w: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менен да, </w:t>
            </w:r>
            <w:r w:rsidR="00795D97" w:rsidRPr="00FE4204">
              <w:rPr>
                <w:rFonts w:ascii="Times New Roman" w:hAnsi="Times New Roman"/>
                <w:sz w:val="24"/>
                <w:szCs w:val="24"/>
                <w:lang w:val="ky-KG"/>
              </w:rPr>
              <w:t>бөрктөлүп</w:t>
            </w: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да же кандайдыр бир башка ушундай жол менен бекитилбеген жана бириктирилбеген, таманы жана үстү резинадан же пластмассадан жасалган суу өткөрбөгөн бут кийим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6401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AE1BE7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>Таманы менен үстү резина же пластмассадан жасалган башка бут кийим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6402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AE1BE7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>Таманы резинaдан, пластмассадан, табигый же композициялык териден жана үстү табигый териден жасалган бут кийим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6403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AE1BE7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hAnsi="Times New Roman"/>
                <w:sz w:val="24"/>
                <w:szCs w:val="24"/>
                <w:lang w:val="ky-KG"/>
              </w:rPr>
              <w:t>Таманы резинадан, пластмассадан, табигый же композициялык териден жана үстү текстиль материалдарынан жасалган бут кийим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6404</w:t>
            </w:r>
          </w:p>
        </w:tc>
      </w:tr>
      <w:tr w:rsidR="002B10FA" w:rsidRPr="00FE4204" w:rsidTr="00D20D4E">
        <w:tc>
          <w:tcPr>
            <w:tcW w:w="568" w:type="dxa"/>
            <w:vMerge/>
            <w:vAlign w:val="center"/>
          </w:tcPr>
          <w:p w:rsidR="002B10FA" w:rsidRPr="00FE4204" w:rsidRDefault="002B10FA" w:rsidP="00D20D4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2B10FA" w:rsidRPr="00FE4204" w:rsidRDefault="002B10FA" w:rsidP="00B83F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Башка бут кийим</w:t>
            </w:r>
          </w:p>
        </w:tc>
        <w:tc>
          <w:tcPr>
            <w:tcW w:w="3969" w:type="dxa"/>
          </w:tcPr>
          <w:p w:rsidR="002B10FA" w:rsidRPr="00FE4204" w:rsidRDefault="002B10FA" w:rsidP="00D20D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</w:pPr>
            <w:r w:rsidRPr="00FE4204">
              <w:rPr>
                <w:rFonts w:ascii="Times New Roman" w:eastAsia="Times New Roman" w:hAnsi="Times New Roman"/>
                <w:sz w:val="24"/>
                <w:szCs w:val="24"/>
                <w:lang w:val="ky-KG" w:eastAsia="ky-KG"/>
              </w:rPr>
              <w:t>6405</w:t>
            </w:r>
          </w:p>
        </w:tc>
      </w:tr>
    </w:tbl>
    <w:p w:rsidR="002B10FA" w:rsidRPr="00AE1BE7" w:rsidRDefault="002B10FA" w:rsidP="00AE1BE7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8"/>
          <w:szCs w:val="28"/>
          <w:lang w:val="ky-KG" w:eastAsia="ru-RU" w:bidi="ru-RU"/>
        </w:rPr>
      </w:pPr>
      <w:r w:rsidRPr="00FE4204">
        <w:rPr>
          <w:rStyle w:val="1"/>
          <w:rFonts w:eastAsiaTheme="minorHAnsi"/>
          <w:b w:val="0"/>
          <w:lang w:val="ky-KG"/>
        </w:rPr>
        <w:t>”.</w:t>
      </w:r>
    </w:p>
    <w:sectPr w:rsidR="002B10FA" w:rsidRPr="00AE1BE7" w:rsidSect="00C5406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4F" w:rsidRDefault="00301B4F">
      <w:pPr>
        <w:spacing w:after="0" w:line="240" w:lineRule="auto"/>
      </w:pPr>
      <w:r>
        <w:separator/>
      </w:r>
    </w:p>
  </w:endnote>
  <w:endnote w:type="continuationSeparator" w:id="0">
    <w:p w:rsidR="00301B4F" w:rsidRDefault="0030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4F" w:rsidRDefault="00301B4F">
      <w:pPr>
        <w:spacing w:after="0" w:line="240" w:lineRule="auto"/>
      </w:pPr>
      <w:r>
        <w:separator/>
      </w:r>
    </w:p>
  </w:footnote>
  <w:footnote w:type="continuationSeparator" w:id="0">
    <w:p w:rsidR="00301B4F" w:rsidRDefault="0030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9EB"/>
    <w:multiLevelType w:val="hybridMultilevel"/>
    <w:tmpl w:val="BA664C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D5065"/>
    <w:multiLevelType w:val="hybridMultilevel"/>
    <w:tmpl w:val="66124F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434DD4"/>
    <w:multiLevelType w:val="hybridMultilevel"/>
    <w:tmpl w:val="52CE10FA"/>
    <w:lvl w:ilvl="0" w:tplc="930A544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907B6"/>
    <w:multiLevelType w:val="hybridMultilevel"/>
    <w:tmpl w:val="5E7C40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971F4"/>
    <w:multiLevelType w:val="hybridMultilevel"/>
    <w:tmpl w:val="2C40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197A17"/>
    <w:multiLevelType w:val="hybridMultilevel"/>
    <w:tmpl w:val="2884AB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7321F0"/>
    <w:multiLevelType w:val="hybridMultilevel"/>
    <w:tmpl w:val="9D6806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D65AD1"/>
    <w:multiLevelType w:val="hybridMultilevel"/>
    <w:tmpl w:val="AC8C2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EF516A4"/>
    <w:multiLevelType w:val="hybridMultilevel"/>
    <w:tmpl w:val="E042F88E"/>
    <w:lvl w:ilvl="0" w:tplc="54DAB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789" w:hanging="360"/>
      </w:pPr>
    </w:lvl>
    <w:lvl w:ilvl="2" w:tplc="0440001B" w:tentative="1">
      <w:start w:val="1"/>
      <w:numFmt w:val="lowerRoman"/>
      <w:lvlText w:val="%3."/>
      <w:lvlJc w:val="right"/>
      <w:pPr>
        <w:ind w:left="2509" w:hanging="180"/>
      </w:pPr>
    </w:lvl>
    <w:lvl w:ilvl="3" w:tplc="0440000F" w:tentative="1">
      <w:start w:val="1"/>
      <w:numFmt w:val="decimal"/>
      <w:lvlText w:val="%4."/>
      <w:lvlJc w:val="left"/>
      <w:pPr>
        <w:ind w:left="3229" w:hanging="360"/>
      </w:pPr>
    </w:lvl>
    <w:lvl w:ilvl="4" w:tplc="04400019" w:tentative="1">
      <w:start w:val="1"/>
      <w:numFmt w:val="lowerLetter"/>
      <w:lvlText w:val="%5."/>
      <w:lvlJc w:val="left"/>
      <w:pPr>
        <w:ind w:left="3949" w:hanging="360"/>
      </w:pPr>
    </w:lvl>
    <w:lvl w:ilvl="5" w:tplc="0440001B" w:tentative="1">
      <w:start w:val="1"/>
      <w:numFmt w:val="lowerRoman"/>
      <w:lvlText w:val="%6."/>
      <w:lvlJc w:val="right"/>
      <w:pPr>
        <w:ind w:left="4669" w:hanging="180"/>
      </w:pPr>
    </w:lvl>
    <w:lvl w:ilvl="6" w:tplc="0440000F" w:tentative="1">
      <w:start w:val="1"/>
      <w:numFmt w:val="decimal"/>
      <w:lvlText w:val="%7."/>
      <w:lvlJc w:val="left"/>
      <w:pPr>
        <w:ind w:left="5389" w:hanging="360"/>
      </w:pPr>
    </w:lvl>
    <w:lvl w:ilvl="7" w:tplc="04400019" w:tentative="1">
      <w:start w:val="1"/>
      <w:numFmt w:val="lowerLetter"/>
      <w:lvlText w:val="%8."/>
      <w:lvlJc w:val="left"/>
      <w:pPr>
        <w:ind w:left="6109" w:hanging="360"/>
      </w:pPr>
    </w:lvl>
    <w:lvl w:ilvl="8" w:tplc="044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B1"/>
    <w:rsid w:val="0003135C"/>
    <w:rsid w:val="00043B35"/>
    <w:rsid w:val="000606EC"/>
    <w:rsid w:val="000818B0"/>
    <w:rsid w:val="000B1861"/>
    <w:rsid w:val="000C0A08"/>
    <w:rsid w:val="000D410E"/>
    <w:rsid w:val="000E5CB0"/>
    <w:rsid w:val="00110A59"/>
    <w:rsid w:val="00121D0C"/>
    <w:rsid w:val="00135B22"/>
    <w:rsid w:val="00152949"/>
    <w:rsid w:val="001B5DC3"/>
    <w:rsid w:val="001C3FBC"/>
    <w:rsid w:val="001C6DAD"/>
    <w:rsid w:val="001D0C2B"/>
    <w:rsid w:val="001D50EB"/>
    <w:rsid w:val="001E7533"/>
    <w:rsid w:val="00200540"/>
    <w:rsid w:val="002142C5"/>
    <w:rsid w:val="00224669"/>
    <w:rsid w:val="002334B5"/>
    <w:rsid w:val="00244500"/>
    <w:rsid w:val="002563A9"/>
    <w:rsid w:val="002A1D2B"/>
    <w:rsid w:val="002B10FA"/>
    <w:rsid w:val="002D1C91"/>
    <w:rsid w:val="00301B4F"/>
    <w:rsid w:val="00304E4F"/>
    <w:rsid w:val="00323AB1"/>
    <w:rsid w:val="00330314"/>
    <w:rsid w:val="00346179"/>
    <w:rsid w:val="0035024E"/>
    <w:rsid w:val="0035742A"/>
    <w:rsid w:val="00363B3D"/>
    <w:rsid w:val="00395025"/>
    <w:rsid w:val="003C3DC9"/>
    <w:rsid w:val="003D18EE"/>
    <w:rsid w:val="003D3574"/>
    <w:rsid w:val="003E7459"/>
    <w:rsid w:val="00426111"/>
    <w:rsid w:val="00433338"/>
    <w:rsid w:val="00434ECB"/>
    <w:rsid w:val="004627FD"/>
    <w:rsid w:val="004639EF"/>
    <w:rsid w:val="0049394F"/>
    <w:rsid w:val="004D76EC"/>
    <w:rsid w:val="004D7FAB"/>
    <w:rsid w:val="00526C5B"/>
    <w:rsid w:val="005272AF"/>
    <w:rsid w:val="00550FCF"/>
    <w:rsid w:val="00552B79"/>
    <w:rsid w:val="005D08E9"/>
    <w:rsid w:val="005D0FDC"/>
    <w:rsid w:val="005F68E1"/>
    <w:rsid w:val="005F6F4E"/>
    <w:rsid w:val="00607689"/>
    <w:rsid w:val="00607740"/>
    <w:rsid w:val="006103B5"/>
    <w:rsid w:val="00615D72"/>
    <w:rsid w:val="00626857"/>
    <w:rsid w:val="0063343C"/>
    <w:rsid w:val="006372A3"/>
    <w:rsid w:val="00663893"/>
    <w:rsid w:val="00664D6E"/>
    <w:rsid w:val="00666C5E"/>
    <w:rsid w:val="00670DA7"/>
    <w:rsid w:val="006723A5"/>
    <w:rsid w:val="006C6ADD"/>
    <w:rsid w:val="006F797C"/>
    <w:rsid w:val="00743086"/>
    <w:rsid w:val="007540F1"/>
    <w:rsid w:val="00795D97"/>
    <w:rsid w:val="007B6C97"/>
    <w:rsid w:val="007C76D4"/>
    <w:rsid w:val="007D6C08"/>
    <w:rsid w:val="007F0E4C"/>
    <w:rsid w:val="00801916"/>
    <w:rsid w:val="00805FC1"/>
    <w:rsid w:val="00834B10"/>
    <w:rsid w:val="00835539"/>
    <w:rsid w:val="008732E3"/>
    <w:rsid w:val="00877021"/>
    <w:rsid w:val="008820C0"/>
    <w:rsid w:val="0089308B"/>
    <w:rsid w:val="008B1801"/>
    <w:rsid w:val="008B6855"/>
    <w:rsid w:val="008C1354"/>
    <w:rsid w:val="008F66DB"/>
    <w:rsid w:val="00926430"/>
    <w:rsid w:val="00930ED8"/>
    <w:rsid w:val="0094151D"/>
    <w:rsid w:val="00946253"/>
    <w:rsid w:val="00962867"/>
    <w:rsid w:val="00963110"/>
    <w:rsid w:val="00966141"/>
    <w:rsid w:val="00966BAD"/>
    <w:rsid w:val="009672A2"/>
    <w:rsid w:val="009760F3"/>
    <w:rsid w:val="00977CDB"/>
    <w:rsid w:val="00987B14"/>
    <w:rsid w:val="009F4DCF"/>
    <w:rsid w:val="00A06C12"/>
    <w:rsid w:val="00A52431"/>
    <w:rsid w:val="00A6060A"/>
    <w:rsid w:val="00AA3C3A"/>
    <w:rsid w:val="00AA4779"/>
    <w:rsid w:val="00AC5288"/>
    <w:rsid w:val="00AD2F33"/>
    <w:rsid w:val="00AE1BE7"/>
    <w:rsid w:val="00AE46BB"/>
    <w:rsid w:val="00B33FC0"/>
    <w:rsid w:val="00B44F99"/>
    <w:rsid w:val="00B80087"/>
    <w:rsid w:val="00B80CFB"/>
    <w:rsid w:val="00B83F15"/>
    <w:rsid w:val="00C444B7"/>
    <w:rsid w:val="00C47EE4"/>
    <w:rsid w:val="00C526D9"/>
    <w:rsid w:val="00C702E6"/>
    <w:rsid w:val="00C7607F"/>
    <w:rsid w:val="00C85E1F"/>
    <w:rsid w:val="00C954D5"/>
    <w:rsid w:val="00C9720B"/>
    <w:rsid w:val="00CC4E86"/>
    <w:rsid w:val="00CD7A0B"/>
    <w:rsid w:val="00CE540B"/>
    <w:rsid w:val="00D12A0D"/>
    <w:rsid w:val="00D9579F"/>
    <w:rsid w:val="00DA70C8"/>
    <w:rsid w:val="00DB78A4"/>
    <w:rsid w:val="00DD27BA"/>
    <w:rsid w:val="00DF02E6"/>
    <w:rsid w:val="00E012E7"/>
    <w:rsid w:val="00E374A3"/>
    <w:rsid w:val="00E6587F"/>
    <w:rsid w:val="00E74D69"/>
    <w:rsid w:val="00E77FF3"/>
    <w:rsid w:val="00E86771"/>
    <w:rsid w:val="00EA0321"/>
    <w:rsid w:val="00EC69C6"/>
    <w:rsid w:val="00ED76DB"/>
    <w:rsid w:val="00EE391A"/>
    <w:rsid w:val="00EE5117"/>
    <w:rsid w:val="00EF2C05"/>
    <w:rsid w:val="00EF4459"/>
    <w:rsid w:val="00F01507"/>
    <w:rsid w:val="00F153F4"/>
    <w:rsid w:val="00F216F4"/>
    <w:rsid w:val="00F76292"/>
    <w:rsid w:val="00F83076"/>
    <w:rsid w:val="00FB55F9"/>
    <w:rsid w:val="00FE4204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188B-9D47-440D-BFAD-568AF15D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962867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6286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6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2867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52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6D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C97"/>
    <w:rPr>
      <w:rFonts w:ascii="Segoe UI" w:eastAsia="Calibri" w:hAnsi="Segoe UI" w:cs="Segoe UI"/>
      <w:sz w:val="18"/>
      <w:szCs w:val="18"/>
    </w:rPr>
  </w:style>
  <w:style w:type="character" w:customStyle="1" w:styleId="1">
    <w:name w:val="Заголовок №1"/>
    <w:basedOn w:val="a0"/>
    <w:rsid w:val="00135B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926430"/>
    <w:rPr>
      <w:color w:val="0000FF"/>
      <w:u w:val="single"/>
    </w:rPr>
  </w:style>
  <w:style w:type="paragraph" w:styleId="aa">
    <w:name w:val="Title"/>
    <w:basedOn w:val="a"/>
    <w:next w:val="a"/>
    <w:link w:val="ab"/>
    <w:rsid w:val="00CE540B"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ab">
    <w:name w:val="Название Знак"/>
    <w:basedOn w:val="a0"/>
    <w:link w:val="aa"/>
    <w:rsid w:val="00CE540B"/>
    <w:rPr>
      <w:rFonts w:ascii="Calibri" w:eastAsia="Calibri" w:hAnsi="Calibri" w:cs="Calibri"/>
      <w:b/>
      <w:sz w:val="72"/>
      <w:szCs w:val="72"/>
    </w:rPr>
  </w:style>
  <w:style w:type="paragraph" w:styleId="ac">
    <w:name w:val="List Paragraph"/>
    <w:basedOn w:val="a"/>
    <w:uiPriority w:val="34"/>
    <w:qFormat/>
    <w:rsid w:val="00EC69C6"/>
    <w:pPr>
      <w:ind w:left="720"/>
      <w:contextualSpacing/>
    </w:pPr>
  </w:style>
  <w:style w:type="character" w:customStyle="1" w:styleId="2">
    <w:name w:val="Основной текст (2)"/>
    <w:basedOn w:val="a0"/>
    <w:rsid w:val="002B1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2B10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tkTablica">
    <w:name w:val="_Текст таблицы (tkTablica)"/>
    <w:basedOn w:val="a"/>
    <w:rsid w:val="002B10FA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39"/>
    <w:rsid w:val="002B1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142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Министерство экономики КР</dc:creator>
  <cp:lastModifiedBy>Айганыш Абдыраева</cp:lastModifiedBy>
  <cp:revision>2</cp:revision>
  <cp:lastPrinted>2020-10-02T08:39:00Z</cp:lastPrinted>
  <dcterms:created xsi:type="dcterms:W3CDTF">2020-10-12T11:36:00Z</dcterms:created>
  <dcterms:modified xsi:type="dcterms:W3CDTF">2020-10-12T11:36:00Z</dcterms:modified>
</cp:coreProperties>
</file>