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0B7" w:rsidRDefault="00C251FE" w:rsidP="00DF30B7">
      <w:pPr>
        <w:pStyle w:val="1"/>
        <w:keepNext w:val="0"/>
        <w:suppressAutoHyphens/>
        <w:spacing w:before="0" w:after="0" w:line="240" w:lineRule="auto"/>
        <w:ind w:left="8789" w:hanging="567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ky-KG"/>
        </w:rPr>
        <w:t xml:space="preserve">2016-2020-жылдарга </w:t>
      </w:r>
      <w:r w:rsidR="00305B7C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ky-KG"/>
        </w:rPr>
        <w:t xml:space="preserve">Кыргыз </w:t>
      </w:r>
      <w:r w:rsidR="00DF30B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ky-KG"/>
        </w:rPr>
        <w:t>Республикасынын</w:t>
      </w:r>
    </w:p>
    <w:p w:rsidR="00DF30B7" w:rsidRDefault="00DF30B7" w:rsidP="00DF30B7">
      <w:pPr>
        <w:pStyle w:val="1"/>
        <w:keepNext w:val="0"/>
        <w:suppressAutoHyphens/>
        <w:spacing w:before="0" w:after="0" w:line="240" w:lineRule="auto"/>
        <w:ind w:left="8364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ky-KG"/>
        </w:rPr>
        <w:t xml:space="preserve">      калкынын</w:t>
      </w:r>
      <w:r w:rsidRPr="00DF30B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ky-KG"/>
        </w:rPr>
        <w:t>финансылык сабаттуулугун</w:t>
      </w:r>
    </w:p>
    <w:p w:rsidR="00A37686" w:rsidRDefault="00DF30B7" w:rsidP="009B514D">
      <w:pPr>
        <w:pStyle w:val="1"/>
        <w:keepNext w:val="0"/>
        <w:suppressAutoHyphens/>
        <w:spacing w:before="0" w:after="0" w:line="240" w:lineRule="auto"/>
        <w:ind w:left="8789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ky-KG"/>
        </w:rPr>
        <w:t>жогорулатуу  программасын</w:t>
      </w:r>
      <w:r w:rsidR="009B514D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ky-KG"/>
        </w:rPr>
        <w:t xml:space="preserve">ын </w:t>
      </w:r>
    </w:p>
    <w:p w:rsidR="00DF30B7" w:rsidRDefault="00DF30B7" w:rsidP="009B514D">
      <w:pPr>
        <w:pStyle w:val="1"/>
        <w:keepNext w:val="0"/>
        <w:suppressAutoHyphens/>
        <w:spacing w:before="0" w:after="0" w:line="240" w:lineRule="auto"/>
        <w:ind w:left="8789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ky-KG"/>
        </w:rPr>
        <w:t>1-тиркеме</w:t>
      </w:r>
      <w:r w:rsidR="009B514D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ky-KG"/>
        </w:rPr>
        <w:t>си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ky-KG"/>
        </w:rPr>
        <w:t xml:space="preserve">  </w:t>
      </w:r>
    </w:p>
    <w:p w:rsidR="00DF30B7" w:rsidRDefault="00DF30B7" w:rsidP="00DF30B7">
      <w:pPr>
        <w:pStyle w:val="1"/>
        <w:keepNext w:val="0"/>
        <w:suppressAutoHyphens/>
        <w:spacing w:before="0" w:after="0" w:line="240" w:lineRule="auto"/>
        <w:ind w:left="8789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ky-KG"/>
        </w:rPr>
      </w:pPr>
    </w:p>
    <w:p w:rsidR="00305B7C" w:rsidRDefault="00305B7C" w:rsidP="008327CC">
      <w:pPr>
        <w:pStyle w:val="a5"/>
        <w:suppressAutoHyphens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ky-KG"/>
        </w:rPr>
        <w:t>Аткаруу</w:t>
      </w:r>
      <w:r w:rsidR="00DF30B7">
        <w:rPr>
          <w:rFonts w:ascii="Times New Roman" w:hAnsi="Times New Roman"/>
          <w:b/>
          <w:color w:val="000000" w:themeColor="text1"/>
          <w:sz w:val="28"/>
          <w:szCs w:val="28"/>
          <w:lang w:val="ky-KG"/>
        </w:rPr>
        <w:t xml:space="preserve">нун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ky-KG"/>
        </w:rPr>
        <w:t xml:space="preserve"> индикаторлору</w:t>
      </w:r>
    </w:p>
    <w:p w:rsidR="008327CC" w:rsidRPr="0094568F" w:rsidRDefault="0094568F" w:rsidP="008327CC">
      <w:pPr>
        <w:pStyle w:val="a5"/>
        <w:suppressAutoHyphens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94568F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8327CC" w:rsidRPr="0094568F">
        <w:rPr>
          <w:rFonts w:ascii="Times New Roman" w:hAnsi="Times New Roman"/>
          <w:b/>
          <w:sz w:val="28"/>
          <w:szCs w:val="28"/>
          <w:lang w:val="ky-KG"/>
        </w:rPr>
        <w:t>(</w:t>
      </w:r>
      <w:r w:rsidR="00DF30B7">
        <w:rPr>
          <w:rFonts w:ascii="Times New Roman" w:hAnsi="Times New Roman"/>
          <w:b/>
          <w:sz w:val="28"/>
          <w:szCs w:val="28"/>
          <w:lang w:val="ky-KG"/>
        </w:rPr>
        <w:t xml:space="preserve">орто жалпы билим берүү, жогорку жана орто кесиптик окуу жайларынын жалпы санын эске алуу менен </w:t>
      </w:r>
      <w:r>
        <w:rPr>
          <w:rFonts w:ascii="Times New Roman" w:hAnsi="Times New Roman"/>
          <w:b/>
          <w:sz w:val="28"/>
          <w:szCs w:val="28"/>
          <w:lang w:val="ky-KG"/>
        </w:rPr>
        <w:t>Кыргыз Республикасынын Улуттук банкы</w:t>
      </w:r>
      <w:r w:rsidR="00DF30B7">
        <w:rPr>
          <w:rFonts w:ascii="Times New Roman" w:hAnsi="Times New Roman"/>
          <w:b/>
          <w:sz w:val="28"/>
          <w:szCs w:val="28"/>
          <w:lang w:val="ky-KG"/>
        </w:rPr>
        <w:t>нын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сунуштарынын негизинде даярдалган</w:t>
      </w:r>
      <w:r w:rsidR="008327CC" w:rsidRPr="0094568F">
        <w:rPr>
          <w:rFonts w:ascii="Times New Roman" w:hAnsi="Times New Roman"/>
          <w:b/>
          <w:sz w:val="28"/>
          <w:szCs w:val="28"/>
          <w:lang w:val="ky-KG"/>
        </w:rPr>
        <w:t>)</w:t>
      </w:r>
    </w:p>
    <w:p w:rsidR="008327CC" w:rsidRPr="0094568F" w:rsidRDefault="008327CC" w:rsidP="008327CC">
      <w:pPr>
        <w:pStyle w:val="a5"/>
        <w:suppressAutoHyphens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lang w:val="ky-KG"/>
        </w:rPr>
      </w:pPr>
    </w:p>
    <w:tbl>
      <w:tblPr>
        <w:tblW w:w="15020" w:type="dxa"/>
        <w:jc w:val="center"/>
        <w:tblInd w:w="-4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6372"/>
        <w:gridCol w:w="1418"/>
        <w:gridCol w:w="1701"/>
        <w:gridCol w:w="1582"/>
        <w:gridCol w:w="1625"/>
        <w:gridCol w:w="1754"/>
      </w:tblGrid>
      <w:tr w:rsidR="008327CC" w:rsidRPr="00FF0CFB" w:rsidTr="008921B9">
        <w:trPr>
          <w:trHeight w:val="274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7CC" w:rsidRPr="0094568F" w:rsidRDefault="008327CC" w:rsidP="00EB63A2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6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CC" w:rsidRPr="0094568F" w:rsidRDefault="008327CC" w:rsidP="00EB63A2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</w:pPr>
          </w:p>
          <w:p w:rsidR="008327CC" w:rsidRPr="0094568F" w:rsidRDefault="0094568F" w:rsidP="00EB63A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  <w:t>Көрсөткүчтөр</w:t>
            </w:r>
          </w:p>
        </w:tc>
        <w:tc>
          <w:tcPr>
            <w:tcW w:w="6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CC" w:rsidRPr="0094568F" w:rsidRDefault="0094568F" w:rsidP="00EB63A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  <w:t>Аткаруу</w:t>
            </w:r>
            <w:r w:rsidR="00DF30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  <w:t>нун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  <w:t xml:space="preserve"> индикаторлору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CC" w:rsidRPr="0094568F" w:rsidRDefault="0094568F" w:rsidP="00EB63A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  <w:t>Максаттуу көрсөткүч</w:t>
            </w:r>
          </w:p>
          <w:p w:rsidR="008327CC" w:rsidRPr="00FF0CFB" w:rsidRDefault="008327CC" w:rsidP="00EB63A2">
            <w:pPr>
              <w:suppressAutoHyphens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327CC" w:rsidRPr="00FF0CFB" w:rsidTr="008921B9">
        <w:trPr>
          <w:trHeight w:val="274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CC" w:rsidRPr="00FF0CFB" w:rsidRDefault="008327CC" w:rsidP="00EB63A2">
            <w:pP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CC" w:rsidRPr="00FF0CFB" w:rsidRDefault="008327CC" w:rsidP="00EB63A2">
            <w:pP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CC" w:rsidRPr="00DF30B7" w:rsidRDefault="008327CC" w:rsidP="00EB63A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ky-KG"/>
              </w:rPr>
            </w:pPr>
            <w:r w:rsidRPr="00DF30B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2016</w:t>
            </w:r>
            <w:r w:rsidR="0094568F" w:rsidRPr="00DF30B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ky-KG"/>
              </w:rPr>
              <w:t>-жыл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CC" w:rsidRPr="00DF30B7" w:rsidRDefault="008327CC" w:rsidP="00EB63A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ky-KG"/>
              </w:rPr>
            </w:pPr>
            <w:r w:rsidRPr="00DF30B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2017</w:t>
            </w:r>
            <w:r w:rsidR="0094568F" w:rsidRPr="00DF30B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ky-KG"/>
              </w:rPr>
              <w:t>-жыл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CC" w:rsidRPr="00DF30B7" w:rsidRDefault="008327CC" w:rsidP="00EB63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</w:pPr>
            <w:r w:rsidRPr="00DF30B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2018</w:t>
            </w:r>
            <w:r w:rsidR="0094568F" w:rsidRPr="00DF30B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ky-KG"/>
              </w:rPr>
              <w:t>-жыл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CC" w:rsidRPr="00DF30B7" w:rsidRDefault="008327CC" w:rsidP="00EB63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</w:pPr>
            <w:r w:rsidRPr="00DF30B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2019</w:t>
            </w:r>
            <w:r w:rsidR="0094568F" w:rsidRPr="00DF30B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ky-KG"/>
              </w:rPr>
              <w:t>-жыл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CC" w:rsidRPr="00DF30B7" w:rsidRDefault="008327CC" w:rsidP="00EB63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</w:pPr>
            <w:r w:rsidRPr="00DF30B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2020</w:t>
            </w:r>
            <w:r w:rsidR="0094568F" w:rsidRPr="00DF30B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ky-KG"/>
              </w:rPr>
              <w:t>-жыл</w:t>
            </w:r>
          </w:p>
        </w:tc>
      </w:tr>
      <w:tr w:rsidR="008327CC" w:rsidRPr="00FF0CFB" w:rsidTr="008921B9">
        <w:trPr>
          <w:trHeight w:val="13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CC" w:rsidRPr="00FF0CFB" w:rsidRDefault="008327CC" w:rsidP="00EB63A2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CC" w:rsidRPr="00FF0CFB" w:rsidRDefault="008327CC" w:rsidP="00EB63A2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CC" w:rsidRPr="00FF0CFB" w:rsidRDefault="008327CC" w:rsidP="00EB63A2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327CC" w:rsidRPr="00FF0CFB" w:rsidTr="008921B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CC" w:rsidRPr="00FF0CFB" w:rsidRDefault="008327CC" w:rsidP="00EB63A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CC" w:rsidRPr="00E051CA" w:rsidRDefault="0094568F" w:rsidP="00EB63A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Финансылык сабаттуулук боюнча иштелип чыккан окуу программалары</w:t>
            </w:r>
            <w:r w:rsidR="00DF3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нын саны</w:t>
            </w:r>
            <w:r w:rsidR="008327CC"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8327CC" w:rsidRPr="00324EF2" w:rsidRDefault="008327CC" w:rsidP="00EB63A2">
            <w:pPr>
              <w:suppressAutoHyphens/>
              <w:spacing w:after="0" w:line="240" w:lineRule="auto"/>
              <w:ind w:left="-22" w:firstLine="2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324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- </w:t>
            </w:r>
            <w:r w:rsidR="00E05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мектептердин кенже класстары үчүн</w:t>
            </w:r>
            <w:r w:rsidRPr="00324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;</w:t>
            </w:r>
          </w:p>
          <w:p w:rsidR="008327CC" w:rsidRPr="00324EF2" w:rsidRDefault="008327CC" w:rsidP="00EB63A2">
            <w:pPr>
              <w:suppressAutoHyphens/>
              <w:spacing w:after="0" w:line="240" w:lineRule="auto"/>
              <w:ind w:left="-22" w:firstLine="2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324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- </w:t>
            </w:r>
            <w:r w:rsidR="00E05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орто жалпы билим берүү жана орто кесиптик </w:t>
            </w:r>
            <w:r w:rsidR="00324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уюмдардын </w:t>
            </w:r>
            <w:r w:rsidR="00E05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орто жана чоң класстары үчүн</w:t>
            </w:r>
            <w:r w:rsidRPr="00324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;</w:t>
            </w:r>
          </w:p>
          <w:p w:rsidR="008327CC" w:rsidRPr="00FF0CFB" w:rsidRDefault="008327CC" w:rsidP="00E051CA">
            <w:pPr>
              <w:suppressAutoHyphens/>
              <w:spacing w:after="0" w:line="240" w:lineRule="auto"/>
              <w:ind w:left="-22" w:firstLine="2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</w:t>
            </w:r>
            <w:r w:rsidR="00E05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жогорку окуу жайлары үчүн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FF0CFB" w:rsidRDefault="008327CC" w:rsidP="00EB63A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1/1/1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CC" w:rsidRPr="00FF0CFB" w:rsidRDefault="008327CC" w:rsidP="00EB63A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2/2/2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CC" w:rsidRPr="00FF0CFB" w:rsidRDefault="008327CC" w:rsidP="00EB63A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3/3/3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FF0CFB" w:rsidRDefault="008327CC" w:rsidP="000B30F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4/4/4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FF0CFB" w:rsidRDefault="008327CC" w:rsidP="000B30F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10/10/10</w:t>
            </w:r>
          </w:p>
        </w:tc>
      </w:tr>
      <w:tr w:rsidR="008327CC" w:rsidRPr="00FF0CFB" w:rsidTr="008921B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CC" w:rsidRPr="00FF0CFB" w:rsidRDefault="008327CC" w:rsidP="00EB63A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956" w:rsidRPr="00A37686" w:rsidRDefault="00E051CA" w:rsidP="00EB63A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Финансылык сабаттуулук боюнча программа кирг</w:t>
            </w:r>
            <w:r w:rsidR="00324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изилген орто жалпы билим берүү уюмдарынын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саны</w:t>
            </w:r>
            <w:r w:rsidR="008327CC"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CC" w:rsidRPr="00FF0CFB" w:rsidRDefault="008327CC" w:rsidP="00EB63A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CC" w:rsidRPr="00FF0CFB" w:rsidRDefault="008327CC" w:rsidP="00EB63A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CC" w:rsidRPr="00FF0CFB" w:rsidRDefault="008327CC" w:rsidP="00EB63A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2218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FF0CFB" w:rsidRDefault="008327CC" w:rsidP="000B30F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FF0CFB" w:rsidRDefault="008327CC" w:rsidP="000B30F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7CC" w:rsidRPr="00FF0CFB" w:rsidTr="008921B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CC" w:rsidRPr="00FF0CFB" w:rsidRDefault="008327CC" w:rsidP="00EB63A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CC" w:rsidRPr="00FF0CFB" w:rsidRDefault="00E051CA" w:rsidP="00EB63A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Окуу-маалыматтык жана билим берүү</w:t>
            </w:r>
            <w:r w:rsidR="00324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басылмаларынын серияларынын саны</w:t>
            </w:r>
            <w:r w:rsidR="008327CC"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8327CC" w:rsidRPr="00FF0CFB" w:rsidRDefault="008327CC" w:rsidP="00EB63A2">
            <w:pPr>
              <w:pStyle w:val="a4"/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</w:t>
            </w:r>
            <w:r w:rsidR="00E05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орто жалпы билим берүү/кесиптик</w:t>
            </w:r>
            <w:r w:rsidR="00324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уюмдар</w:t>
            </w:r>
            <w:r w:rsidR="00E05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жана жогорку окуу мекемелери үчүн окуу куралдары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8327CC" w:rsidRPr="00FF0CFB" w:rsidRDefault="008327CC" w:rsidP="00EB63A2">
            <w:pPr>
              <w:pStyle w:val="a4"/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</w:t>
            </w:r>
            <w:r w:rsidR="00613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орто жалпы билим берүү/кесиптик уюмдар жана </w:t>
            </w:r>
            <w:r w:rsidR="00613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lastRenderedPageBreak/>
              <w:t>жогорку окуу жайлар үчүн маалыматтык-агартуу буклеттер</w:t>
            </w:r>
            <w:r w:rsidR="00DF3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и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8327CC" w:rsidRPr="00FF0CFB" w:rsidRDefault="008327CC" w:rsidP="00EB63A2">
            <w:pPr>
              <w:pStyle w:val="a4"/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</w:t>
            </w:r>
            <w:r w:rsidR="00613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банктык кызмат көрсөтүүлөрдүн негизги түрлөрү (кредиттер, депозиттер, төлөм кызмат көрсөтүүлөрү</w:t>
            </w:r>
            <w:r w:rsidR="00127F1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жана башкалар)</w:t>
            </w:r>
            <w:r w:rsidR="00613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боюнча чоң</w:t>
            </w:r>
            <w:r w:rsidR="00127F1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дор</w:t>
            </w:r>
            <w:r w:rsidR="00613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үчүн</w:t>
            </w:r>
            <w:r w:rsidR="00127F1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билим берүү “баракчалары”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8327CC" w:rsidRPr="00FF0CFB" w:rsidRDefault="008327CC" w:rsidP="00127F19">
            <w:pPr>
              <w:pStyle w:val="a4"/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  <w:r w:rsidR="00127F1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  <w:t xml:space="preserve"> фондулук рынокто баалуу кагаздар боюнча чоңдор үчүн билим берүү буклеттери </w:t>
            </w:r>
            <w:r w:rsidRPr="00FF0C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 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FF0CFB" w:rsidRDefault="008327CC" w:rsidP="00EB63A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1/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1/1/1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FF0CFB" w:rsidRDefault="008327CC" w:rsidP="00EB63A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1/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1/1/1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FF0CFB" w:rsidRDefault="008327CC" w:rsidP="00EB63A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2/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2/2/2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FF0CFB" w:rsidRDefault="008327CC" w:rsidP="000B30F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3/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3/3/3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FF0CFB" w:rsidRDefault="008327CC" w:rsidP="000B30F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4/4/4</w:t>
            </w:r>
            <w:r w:rsidRPr="00FF0C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/4</w:t>
            </w:r>
          </w:p>
        </w:tc>
      </w:tr>
      <w:tr w:rsidR="008327CC" w:rsidRPr="00FF0CFB" w:rsidTr="008921B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CC" w:rsidRPr="00FF0CFB" w:rsidRDefault="008327CC" w:rsidP="00EB63A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CC" w:rsidRPr="00FF0CFB" w:rsidRDefault="00127F19" w:rsidP="00EB63A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Жалпыга маалымдоо каражаттары менен иш</w:t>
            </w:r>
            <w:r w:rsidR="00DF3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төө</w:t>
            </w:r>
            <w:r w:rsidR="008327CC"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8327CC" w:rsidRPr="00127F19" w:rsidRDefault="008327CC" w:rsidP="00EB63A2">
            <w:pPr>
              <w:pStyle w:val="a4"/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</w:t>
            </w:r>
            <w:r w:rsidR="008C5C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="00127F1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бас</w:t>
            </w:r>
            <w:r w:rsidR="00EB6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ылмалар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127F1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керектөөчүлөрдүн укугун коргоо жана банктык продукт</w:t>
            </w:r>
            <w:r w:rsidR="00DF3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улардан</w:t>
            </w:r>
            <w:r w:rsidR="00127F1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жана кызмат көрсөтүүлөрдөн пайдаланууда алардын укуктары жана жоопкерчиликтери </w:t>
            </w:r>
            <w:r w:rsidR="00EB6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боюнча жайгаштырылган макалалардын саны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8327CC" w:rsidRPr="00FF0CFB" w:rsidRDefault="00EB63A2" w:rsidP="00EB63A2">
            <w:pPr>
              <w:pStyle w:val="a4"/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теле</w:t>
            </w:r>
            <w:r w:rsidR="009B5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жана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радиопрограмм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алар</w:t>
            </w:r>
            <w:r w:rsidR="008327CC"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карыз алуучулардын негизги көйгөйлөрү боюнча интервью</w:t>
            </w:r>
            <w:r w:rsidR="008327CC"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8327CC" w:rsidRPr="00FF0CFB" w:rsidRDefault="008327CC" w:rsidP="00EB63A2">
            <w:pPr>
              <w:pStyle w:val="a4"/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</w:t>
            </w:r>
            <w:r w:rsidR="00EB6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финансылык кызмат көрсөтүүлөрд</w:t>
            </w:r>
            <w:r w:rsidR="00892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ү</w:t>
            </w:r>
            <w:r w:rsidR="00EB6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пайдалануучулардын </w:t>
            </w:r>
            <w:r w:rsidR="00892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проблемалары</w:t>
            </w:r>
            <w:r w:rsidR="00EB6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жана алардын укуктарын коргоо боюнча видеопродукцияны даярдоо жана республикалык жана ре</w:t>
            </w:r>
            <w:r w:rsidR="008C5C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гион</w:t>
            </w:r>
            <w:r w:rsidR="00892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дук</w:t>
            </w:r>
            <w:r w:rsidR="008C5C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ТВ-каналдарга чыгаруу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8327CC" w:rsidRPr="00FF0CFB" w:rsidRDefault="008327CC" w:rsidP="00EB63A2">
            <w:pPr>
              <w:pStyle w:val="a4"/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 </w:t>
            </w:r>
            <w:r w:rsidR="00EB6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төмөнкүлөр үчүн банктык продукт</w:t>
            </w:r>
            <w:r w:rsidR="00892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улардын</w:t>
            </w:r>
            <w:r w:rsidR="00EB6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жана кызмат көрсөтүүлөрдүн негизги түрлөрү боюнча билим берүү видеороликтери</w:t>
            </w:r>
            <w:r w:rsidR="009B5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н</w:t>
            </w:r>
            <w:r w:rsidR="00EB6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даярдоо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8327CC" w:rsidRPr="00FF0CFB" w:rsidRDefault="008327CC" w:rsidP="00EB63A2">
            <w:pPr>
              <w:pStyle w:val="a4"/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 </w:t>
            </w:r>
            <w:r w:rsidR="00EB6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финансылык сабаттуулук боюнча окуу курсунун жүрүшүндө көрсөтүү</w:t>
            </w:r>
            <w:r w:rsidRPr="00EB6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;</w:t>
            </w:r>
          </w:p>
          <w:p w:rsidR="008327CC" w:rsidRPr="00FF0CFB" w:rsidRDefault="008327CC" w:rsidP="00EB63A2">
            <w:pPr>
              <w:pStyle w:val="a4"/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 </w:t>
            </w:r>
            <w:r w:rsidR="00EB6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республикалык жана регион</w:t>
            </w:r>
            <w:r w:rsidR="00892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дук </w:t>
            </w:r>
            <w:r w:rsidR="00EB6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ТВ-каналдарда </w:t>
            </w:r>
            <w:r w:rsidR="00EB6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lastRenderedPageBreak/>
              <w:t>туруктуу негизде көрсөтүү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8327CC" w:rsidRPr="00FF0CFB" w:rsidRDefault="008327CC" w:rsidP="008921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  <w:r w:rsidRPr="00FF0C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 </w:t>
            </w:r>
            <w:r w:rsidR="00EB63A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  <w:t xml:space="preserve"> басма жана электрондук</w:t>
            </w:r>
            <w:r w:rsidR="005B74F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  <w:t xml:space="preserve"> басылмаларда макалаларды даярдоо, теле жана радио </w:t>
            </w:r>
            <w:r w:rsidR="008921B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  <w:t>берүүлөрдү даярдоо</w:t>
            </w:r>
            <w:r w:rsidR="005B74F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  <w:t>, ошондой эле “Баалуу кагаздарга салуу</w:t>
            </w:r>
            <w:r w:rsidR="008921B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  <w:t>нун</w:t>
            </w:r>
            <w:r w:rsidR="005B74F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  <w:t xml:space="preserve"> артыкчылыктары” жана “Фондулук рынокто баалуу кагаздарга инвесторлордун укуктарын жана таламдарын коргоо” темасына билим берүү видеороликтерин даярдоо </w:t>
            </w:r>
            <w:r w:rsidR="00EB63A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FF0CFB" w:rsidRDefault="008327CC" w:rsidP="008921B9">
            <w:pPr>
              <w:suppressAutoHyphens/>
              <w:spacing w:after="0" w:line="240" w:lineRule="auto"/>
              <w:ind w:left="-108" w:firstLine="10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10/5/5</w:t>
            </w:r>
            <w:r w:rsidRPr="00FF0C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/5/5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FF0CFB" w:rsidRDefault="008327CC" w:rsidP="008921B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20/10/10</w:t>
            </w:r>
            <w:r w:rsidRPr="00FF0C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FF0CFB" w:rsidRDefault="008327CC" w:rsidP="00EB63A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25/15/15</w:t>
            </w:r>
            <w:r w:rsidRPr="00FF0C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/15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FF0CFB" w:rsidRDefault="008327CC" w:rsidP="000B30F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30/20/20/20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FF0CFB" w:rsidRDefault="008327CC" w:rsidP="000B30F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40/25/25/</w:t>
            </w:r>
            <w:r w:rsid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8327CC" w:rsidRPr="00FF0CFB" w:rsidTr="008921B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CC" w:rsidRPr="00FF0CFB" w:rsidRDefault="008327CC" w:rsidP="00EB63A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CC" w:rsidRPr="00FF0CFB" w:rsidRDefault="00EB63A2" w:rsidP="00EB63A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Интернет-ресурстарды толтуруу боюнча иш</w:t>
            </w:r>
            <w:r w:rsidR="00892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төө</w:t>
            </w:r>
            <w:r w:rsidR="008327CC"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8327CC" w:rsidRPr="00FF0CFB" w:rsidRDefault="008327CC" w:rsidP="00EB63A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</w:t>
            </w:r>
            <w:r w:rsidR="00EB6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Кыргыз Республикасынын Улуттук банкынын расмий сайты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8327CC" w:rsidRPr="00FF0CFB" w:rsidRDefault="008327CC" w:rsidP="00EB63A2">
            <w:pPr>
              <w:suppressAutoHyphens/>
              <w:spacing w:after="0" w:line="240" w:lineRule="auto"/>
              <w:ind w:firstLine="4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</w:t>
            </w:r>
            <w:r w:rsidR="00EB6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банктык кызмат</w:t>
            </w:r>
            <w:r w:rsidR="00E613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ты керектөөчүлөрдүн</w:t>
            </w:r>
            <w:r w:rsidR="00EB6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укуктары жана жоопкерчиликтери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8327CC" w:rsidRPr="00FF0CFB" w:rsidRDefault="008327CC" w:rsidP="00EB63A2">
            <w:pPr>
              <w:suppressAutoHyphens/>
              <w:spacing w:after="0" w:line="240" w:lineRule="auto"/>
              <w:ind w:firstLine="4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</w:t>
            </w:r>
            <w:r w:rsidR="00EB6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финансылык кызмат</w:t>
            </w:r>
            <w:r w:rsidR="00E613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ты керектөөчүлөрдүн </w:t>
            </w:r>
            <w:r w:rsidR="00EB6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укуктарын коргоо (</w:t>
            </w:r>
            <w:r w:rsidR="005B7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мыйзамдар жана </w:t>
            </w:r>
            <w:r w:rsidR="00EB6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Кыргыз </w:t>
            </w:r>
            <w:r w:rsidR="005B7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Р</w:t>
            </w:r>
            <w:r w:rsidR="00EB6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еспубликасынын Улуттук банкынын ченемдик актылары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);</w:t>
            </w:r>
          </w:p>
          <w:p w:rsidR="008327CC" w:rsidRPr="00FF0CFB" w:rsidRDefault="008327CC" w:rsidP="00EB63A2">
            <w:pPr>
              <w:suppressAutoHyphens/>
              <w:spacing w:after="0" w:line="240" w:lineRule="auto"/>
              <w:ind w:firstLine="4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</w:t>
            </w:r>
            <w:r w:rsidR="005B7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кызмат көрсөтүүлөрдүн </w:t>
            </w:r>
            <w:r w:rsidR="00892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төмөнкүдөй </w:t>
            </w:r>
            <w:r w:rsidR="005B7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түрлөрү боюнча финансылык статистикасы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:rsidR="008327CC" w:rsidRPr="00FF0CFB" w:rsidRDefault="008327CC" w:rsidP="00EB63A2">
            <w:pPr>
              <w:suppressAutoHyphens/>
              <w:spacing w:after="0" w:line="240" w:lineRule="auto"/>
              <w:ind w:firstLine="4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(i) банк</w:t>
            </w:r>
            <w:r w:rsidR="005B7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секторунун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</w:p>
          <w:p w:rsidR="008327CC" w:rsidRPr="00FF0CFB" w:rsidRDefault="008327CC" w:rsidP="00EB63A2">
            <w:pPr>
              <w:suppressAutoHyphens/>
              <w:spacing w:after="0" w:line="240" w:lineRule="auto"/>
              <w:ind w:firstLine="4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(ii) </w:t>
            </w:r>
            <w:r w:rsidR="005B7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микрофинансылык сектордун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</w:p>
          <w:p w:rsidR="008327CC" w:rsidRPr="00FF0CFB" w:rsidRDefault="008327CC" w:rsidP="00EB63A2">
            <w:pPr>
              <w:suppressAutoHyphens/>
              <w:spacing w:after="0" w:line="240" w:lineRule="auto"/>
              <w:ind w:firstLine="4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(iii) </w:t>
            </w:r>
            <w:r w:rsidR="005B7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алмашуу операцияларынын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8327CC" w:rsidRPr="00FF0CFB" w:rsidRDefault="008327CC" w:rsidP="00EB63A2">
            <w:pPr>
              <w:suppressAutoHyphens/>
              <w:spacing w:after="0" w:line="240" w:lineRule="auto"/>
              <w:ind w:firstLine="4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</w:t>
            </w:r>
            <w:r w:rsidR="00892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билдирүүчүлөрдүн</w:t>
            </w:r>
            <w:r w:rsidR="005924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="008C5C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жана </w:t>
            </w:r>
            <w:r w:rsidR="00892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финансылык кызмат көрсөтүүлөрдөн </w:t>
            </w:r>
            <w:r w:rsidR="008C5C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пайдалануучулардын көп берилүүчү суроолоруна жооптор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327CC" w:rsidRPr="00FF0CFB" w:rsidRDefault="008327CC" w:rsidP="00EB63A2">
            <w:pPr>
              <w:suppressAutoHyphens/>
              <w:spacing w:after="0" w:line="240" w:lineRule="auto"/>
              <w:ind w:firstLine="4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  <w:r w:rsidR="005B7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Финансылык сабаттуулук боюнча сайт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8327CC" w:rsidRPr="00FF0CFB" w:rsidRDefault="008327CC" w:rsidP="00EB63A2">
            <w:pPr>
              <w:suppressAutoHyphens/>
              <w:spacing w:after="0" w:line="240" w:lineRule="auto"/>
              <w:ind w:firstLine="4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</w:t>
            </w:r>
            <w:r w:rsidR="005B7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финансылык кызмат көрсөтүүлөрдөн пайдалануучулардын укуктарын коргоо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8327CC" w:rsidRPr="00FF0CFB" w:rsidRDefault="008327CC" w:rsidP="00EB63A2">
            <w:pPr>
              <w:suppressAutoHyphens/>
              <w:spacing w:after="0" w:line="240" w:lineRule="auto"/>
              <w:ind w:firstLine="4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 </w:t>
            </w:r>
            <w:r w:rsidR="005B7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финансылык сабаттуулук боюнча жүргүзүлгөн иштер тууралуу маалымат 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5B7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Кыргыз Республикасынын Улуттук банкы, бизнес-коомчулуктар, мамлекеттик башкаруу органдары, кызыкдар уюмдар жана башкалар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);</w:t>
            </w:r>
          </w:p>
          <w:p w:rsidR="008327CC" w:rsidRPr="00FF0CFB" w:rsidRDefault="008327CC" w:rsidP="00EB63A2">
            <w:pPr>
              <w:suppressAutoHyphens/>
              <w:spacing w:after="0" w:line="240" w:lineRule="auto"/>
              <w:ind w:firstLine="4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</w:t>
            </w:r>
            <w:r w:rsidR="005B7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финансылык сабаттуулук боюнча окуу программалары жана куралдары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8327CC" w:rsidRPr="00FF0CFB" w:rsidRDefault="008327CC" w:rsidP="00EB63A2">
            <w:pPr>
              <w:suppressAutoHyphens/>
              <w:spacing w:after="0" w:line="240" w:lineRule="auto"/>
              <w:ind w:firstLine="4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</w:t>
            </w:r>
            <w:r w:rsidR="005B7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ар түрдүү жалпыга маалымдоо каражаттарында жайгаштырылган финансылык сабаттуулук боюнча басма, видео жана аудиоматериалдар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8327CC" w:rsidRPr="00FF0CFB" w:rsidRDefault="008327CC" w:rsidP="00EB63A2">
            <w:pPr>
              <w:suppressAutoHyphens/>
              <w:spacing w:after="0" w:line="240" w:lineRule="auto"/>
              <w:ind w:firstLine="4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5B7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финансылык продукт</w:t>
            </w:r>
            <w:r w:rsidR="005924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улар</w:t>
            </w:r>
            <w:r w:rsidR="005B7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дан пайдалануучуларды</w:t>
            </w:r>
            <w:r w:rsidR="000A48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н көп берилүүчү суроолоруна</w:t>
            </w:r>
            <w:r w:rsidR="005B7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жооптор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8327CC" w:rsidRPr="00FF0CFB" w:rsidRDefault="008327CC" w:rsidP="00EB63A2">
            <w:pPr>
              <w:suppressAutoHyphens/>
              <w:spacing w:after="0" w:line="240" w:lineRule="auto"/>
              <w:ind w:firstLine="403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</w:t>
            </w:r>
            <w:r w:rsidR="005924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онлайн жана офлайн режиминде </w:t>
            </w:r>
            <w:r w:rsidR="005B7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финансылык кызмат көрсөтүүлөрдөн пайдалануучулардын суроо</w:t>
            </w:r>
            <w:r w:rsidR="005924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лору</w:t>
            </w:r>
            <w:r w:rsidR="005B7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/жооптору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327CC" w:rsidRPr="00FF0CFB" w:rsidRDefault="008327CC" w:rsidP="00EB63A2">
            <w:pPr>
              <w:suppressAutoHyphens/>
              <w:spacing w:after="0" w:line="240" w:lineRule="auto"/>
              <w:ind w:firstLine="403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3. </w:t>
            </w:r>
            <w:r w:rsidR="00861F48" w:rsidRPr="00861F4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Республикасынын Өкмөтүнө караштуу Финансы рыногун жөнгө салуу жана көзөмөлдөө мамлекеттик кызматынын</w:t>
            </w:r>
            <w:r w:rsidR="00861F4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жана Кыргыз фондулук биржанын расмий сайттары</w:t>
            </w:r>
            <w:r w:rsidRPr="00FF0C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:</w:t>
            </w:r>
          </w:p>
          <w:p w:rsidR="008327CC" w:rsidRPr="00FF0CFB" w:rsidRDefault="008327CC" w:rsidP="00EB63A2">
            <w:pPr>
              <w:suppressAutoHyphens/>
              <w:spacing w:after="0" w:line="240" w:lineRule="auto"/>
              <w:ind w:firstLine="403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8C5C3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  <w:t>инвесторлордун баалуу кагаздар</w:t>
            </w:r>
            <w:r w:rsidR="000A48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  <w:t>га</w:t>
            </w:r>
            <w:r w:rsidR="008C5C3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  <w:t xml:space="preserve"> укуктары жана жоопкерчилиги</w:t>
            </w:r>
            <w:r w:rsidRPr="00FF0C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;</w:t>
            </w:r>
          </w:p>
          <w:p w:rsidR="008327CC" w:rsidRPr="00FF0CFB" w:rsidRDefault="008327CC" w:rsidP="00EB63A2">
            <w:pPr>
              <w:suppressAutoHyphens/>
              <w:spacing w:after="0" w:line="240" w:lineRule="auto"/>
              <w:ind w:firstLine="403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 </w:t>
            </w:r>
            <w:r w:rsidR="008C5C3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  <w:t>баалуу кагаздарга салуу</w:t>
            </w:r>
            <w:r w:rsidR="0059249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  <w:t>нун</w:t>
            </w:r>
            <w:r w:rsidR="008C5C3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  <w:t xml:space="preserve"> артыкчылыктары</w:t>
            </w:r>
            <w:r w:rsidRPr="00FF0C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;</w:t>
            </w:r>
          </w:p>
          <w:p w:rsidR="008327CC" w:rsidRPr="00FF0CFB" w:rsidRDefault="008327CC" w:rsidP="00EB63A2">
            <w:pPr>
              <w:suppressAutoHyphens/>
              <w:spacing w:after="0" w:line="240" w:lineRule="auto"/>
              <w:ind w:firstLine="403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 </w:t>
            </w:r>
            <w:r w:rsidR="008C5C3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  <w:t xml:space="preserve">фондулук рынокто </w:t>
            </w:r>
            <w:r w:rsidR="0059249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  <w:t xml:space="preserve">баалуу кагаздар </w:t>
            </w:r>
            <w:r w:rsidR="008C5C3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  <w:t>инвесторлор</w:t>
            </w:r>
            <w:r w:rsidR="0059249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  <w:t>ун</w:t>
            </w:r>
            <w:r w:rsidR="008C5C3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  <w:t>ун укуктарын жана таламдарын коргоо</w:t>
            </w:r>
            <w:r w:rsidRPr="00FF0C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;</w:t>
            </w:r>
          </w:p>
          <w:p w:rsidR="008327CC" w:rsidRPr="00FF0CFB" w:rsidRDefault="008327CC" w:rsidP="00861F48">
            <w:pPr>
              <w:suppressAutoHyphens/>
              <w:spacing w:after="0" w:line="240" w:lineRule="auto"/>
              <w:ind w:firstLine="4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 </w:t>
            </w:r>
            <w:r w:rsidR="00861F4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  <w:t xml:space="preserve">көп берилүүчү суроолорго жооптор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FF0CFB" w:rsidRDefault="008C5C38" w:rsidP="008C5C3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lastRenderedPageBreak/>
              <w:t>Бекитил</w:t>
            </w:r>
            <w:r w:rsidR="00892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ген графикке ылайык туруктуу негизде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FF0CFB" w:rsidRDefault="008C5C38" w:rsidP="00EB63A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Бекитилген графикке ылайык туруктуу негизде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FF0CFB" w:rsidRDefault="008C5C38" w:rsidP="00EB63A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Бекитил</w:t>
            </w:r>
            <w:r w:rsidR="00892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ген графикке ылайык туруктуу негизде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FF0CFB" w:rsidRDefault="008C5C38" w:rsidP="00EB63A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Бекитилген графикке ылайык туруктуу негизде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FF0CFB" w:rsidRDefault="008C5C38" w:rsidP="00EB63A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Бекитилген графикке ылайык туруктуу негизде</w:t>
            </w:r>
          </w:p>
        </w:tc>
      </w:tr>
    </w:tbl>
    <w:p w:rsidR="008327CC" w:rsidRPr="00A37686" w:rsidRDefault="008327CC" w:rsidP="00A37686">
      <w:pPr>
        <w:rPr>
          <w:rFonts w:ascii="Times New Roman" w:hAnsi="Times New Roman" w:cs="Times New Roman"/>
          <w:sz w:val="28"/>
          <w:szCs w:val="28"/>
          <w:lang w:val="ky-KG"/>
        </w:rPr>
      </w:pPr>
    </w:p>
    <w:sectPr w:rsidR="008327CC" w:rsidRPr="00A37686" w:rsidSect="003861BE">
      <w:footerReference w:type="default" r:id="rId6"/>
      <w:footerReference w:type="first" r:id="rId7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1A9" w:rsidRDefault="00AC71A9" w:rsidP="006E7BFF">
      <w:pPr>
        <w:spacing w:after="0" w:line="240" w:lineRule="auto"/>
      </w:pPr>
      <w:r>
        <w:separator/>
      </w:r>
    </w:p>
  </w:endnote>
  <w:endnote w:type="continuationSeparator" w:id="0">
    <w:p w:rsidR="00AC71A9" w:rsidRDefault="00AC71A9" w:rsidP="006E7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0080"/>
    </w:sdtPr>
    <w:sdtContent>
      <w:p w:rsidR="005B74FC" w:rsidRDefault="008E7267">
        <w:pPr>
          <w:pStyle w:val="a9"/>
          <w:jc w:val="right"/>
        </w:pPr>
        <w:fldSimple w:instr=" PAGE   \* MERGEFORMAT ">
          <w:r w:rsidR="003861BE">
            <w:rPr>
              <w:noProof/>
            </w:rPr>
            <w:t>5</w:t>
          </w:r>
        </w:fldSimple>
      </w:p>
    </w:sdtContent>
  </w:sdt>
  <w:p w:rsidR="005B74FC" w:rsidRDefault="005B74F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AE9" w:rsidRDefault="00B46AE9">
    <w:pPr>
      <w:pStyle w:val="a9"/>
      <w:jc w:val="right"/>
    </w:pPr>
  </w:p>
  <w:p w:rsidR="00B46AE9" w:rsidRDefault="00B46AE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1A9" w:rsidRDefault="00AC71A9" w:rsidP="006E7BFF">
      <w:pPr>
        <w:spacing w:after="0" w:line="240" w:lineRule="auto"/>
      </w:pPr>
      <w:r>
        <w:separator/>
      </w:r>
    </w:p>
  </w:footnote>
  <w:footnote w:type="continuationSeparator" w:id="0">
    <w:p w:rsidR="00AC71A9" w:rsidRDefault="00AC71A9" w:rsidP="006E7B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7CC"/>
    <w:rsid w:val="00043D4F"/>
    <w:rsid w:val="0007282C"/>
    <w:rsid w:val="000A4860"/>
    <w:rsid w:val="000B30F0"/>
    <w:rsid w:val="00111B70"/>
    <w:rsid w:val="00127F19"/>
    <w:rsid w:val="001772A2"/>
    <w:rsid w:val="0018516C"/>
    <w:rsid w:val="00221B5A"/>
    <w:rsid w:val="002B2F6C"/>
    <w:rsid w:val="002F4843"/>
    <w:rsid w:val="002F6DB6"/>
    <w:rsid w:val="00305B7C"/>
    <w:rsid w:val="00324EF2"/>
    <w:rsid w:val="003861BE"/>
    <w:rsid w:val="0050286A"/>
    <w:rsid w:val="00566446"/>
    <w:rsid w:val="00571956"/>
    <w:rsid w:val="00592490"/>
    <w:rsid w:val="005B74FC"/>
    <w:rsid w:val="005F1211"/>
    <w:rsid w:val="00613BA3"/>
    <w:rsid w:val="00626E1B"/>
    <w:rsid w:val="006B7367"/>
    <w:rsid w:val="006E7BFF"/>
    <w:rsid w:val="00783A42"/>
    <w:rsid w:val="007C33C6"/>
    <w:rsid w:val="008327CC"/>
    <w:rsid w:val="00861F48"/>
    <w:rsid w:val="008921B9"/>
    <w:rsid w:val="008A546B"/>
    <w:rsid w:val="008C5C38"/>
    <w:rsid w:val="008E7267"/>
    <w:rsid w:val="0094568F"/>
    <w:rsid w:val="009B514D"/>
    <w:rsid w:val="00A37686"/>
    <w:rsid w:val="00A461EF"/>
    <w:rsid w:val="00AC71A9"/>
    <w:rsid w:val="00B00BCC"/>
    <w:rsid w:val="00B46AE9"/>
    <w:rsid w:val="00BF19D9"/>
    <w:rsid w:val="00BF1A14"/>
    <w:rsid w:val="00C251FE"/>
    <w:rsid w:val="00D35BC9"/>
    <w:rsid w:val="00D66218"/>
    <w:rsid w:val="00DE588C"/>
    <w:rsid w:val="00DF30B7"/>
    <w:rsid w:val="00E051CA"/>
    <w:rsid w:val="00E25D21"/>
    <w:rsid w:val="00E377F8"/>
    <w:rsid w:val="00E613E5"/>
    <w:rsid w:val="00EB63A2"/>
    <w:rsid w:val="00EC6DD6"/>
    <w:rsid w:val="00FF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rsid w:val="008327CC"/>
    <w:rPr>
      <w:rFonts w:ascii="Calibri" w:eastAsia="Calibri" w:hAnsi="Calibri" w:cs="Raavi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27C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7C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a3">
    <w:name w:val="Абзац списка Знак"/>
    <w:aliases w:val="List Paragraph 1 Знак"/>
    <w:link w:val="a4"/>
    <w:uiPriority w:val="34"/>
    <w:rsid w:val="008327CC"/>
  </w:style>
  <w:style w:type="paragraph" w:styleId="a4">
    <w:name w:val="List Paragraph"/>
    <w:aliases w:val="List Paragraph 1"/>
    <w:basedOn w:val="a"/>
    <w:link w:val="a3"/>
    <w:uiPriority w:val="34"/>
    <w:qFormat/>
    <w:rsid w:val="008327CC"/>
    <w:pPr>
      <w:ind w:left="708"/>
    </w:pPr>
    <w:rPr>
      <w:rFonts w:asciiTheme="minorHAnsi" w:eastAsiaTheme="minorHAnsi" w:hAnsiTheme="minorHAnsi" w:cstheme="minorBidi"/>
      <w:szCs w:val="22"/>
      <w:lang w:eastAsia="en-US"/>
    </w:rPr>
  </w:style>
  <w:style w:type="paragraph" w:styleId="a5">
    <w:name w:val="footnote text"/>
    <w:basedOn w:val="a"/>
    <w:link w:val="a6"/>
    <w:uiPriority w:val="99"/>
    <w:rsid w:val="008327CC"/>
    <w:pPr>
      <w:spacing w:after="0" w:line="240" w:lineRule="auto"/>
    </w:pPr>
    <w:rPr>
      <w:rFonts w:cs="Times New Roman"/>
      <w:sz w:val="20"/>
    </w:rPr>
  </w:style>
  <w:style w:type="character" w:customStyle="1" w:styleId="a6">
    <w:name w:val="Текст сноски Знак"/>
    <w:basedOn w:val="a0"/>
    <w:link w:val="a5"/>
    <w:uiPriority w:val="99"/>
    <w:rsid w:val="008327CC"/>
    <w:rPr>
      <w:rFonts w:ascii="Calibri" w:eastAsia="Calibri" w:hAnsi="Calibri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E7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E7BFF"/>
    <w:rPr>
      <w:rFonts w:ascii="Calibri" w:eastAsia="Calibri" w:hAnsi="Calibri" w:cs="Raav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E7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7BFF"/>
    <w:rPr>
      <w:rFonts w:ascii="Calibri" w:eastAsia="Calibri" w:hAnsi="Calibri" w:cs="Raavi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05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5B7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2016-06-10T14:53:00Z</cp:lastPrinted>
  <dcterms:created xsi:type="dcterms:W3CDTF">2016-06-10T14:55:00Z</dcterms:created>
  <dcterms:modified xsi:type="dcterms:W3CDTF">2016-06-10T14:55:00Z</dcterms:modified>
</cp:coreProperties>
</file>