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F23" w:rsidRPr="0055243B" w:rsidRDefault="00080F23" w:rsidP="00080F23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243B">
        <w:rPr>
          <w:rFonts w:ascii="Times New Roman" w:hAnsi="Times New Roman" w:cs="Times New Roman"/>
          <w:sz w:val="28"/>
          <w:szCs w:val="28"/>
        </w:rPr>
        <w:t>Приложение</w:t>
      </w:r>
    </w:p>
    <w:p w:rsidR="00080F23" w:rsidRDefault="00080F23" w:rsidP="00080F23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080F23" w:rsidRPr="00807106" w:rsidRDefault="00080F23" w:rsidP="00080F23">
      <w:pPr>
        <w:pStyle w:val="tkNazvanie"/>
        <w:spacing w:before="0" w:after="0" w:line="240" w:lineRule="auto"/>
        <w:ind w:left="0" w:right="0"/>
        <w:rPr>
          <w:rFonts w:ascii="Times New Roman" w:hAnsi="Times New Roman"/>
          <w:b w:val="0"/>
          <w:color w:val="000000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онцепция</w:t>
      </w:r>
      <w:r w:rsidRPr="00807106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080F23" w:rsidRDefault="00080F23" w:rsidP="00080F23">
      <w:pPr>
        <w:pStyle w:val="tkNazvanie"/>
        <w:spacing w:before="0" w:after="0" w:line="240" w:lineRule="auto"/>
        <w:ind w:left="0" w:right="0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 xml:space="preserve">развития национальной инфраструктуры качества </w:t>
      </w:r>
    </w:p>
    <w:p w:rsidR="00080F23" w:rsidRPr="00807106" w:rsidRDefault="00080F23" w:rsidP="00080F23">
      <w:pPr>
        <w:pStyle w:val="tkNazvanie"/>
        <w:spacing w:before="0" w:after="0" w:line="240" w:lineRule="auto"/>
        <w:ind w:left="0" w:right="0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>Кыргызской Республики на период до 2020 года</w:t>
      </w:r>
    </w:p>
    <w:p w:rsidR="00080F23" w:rsidRPr="00807106" w:rsidRDefault="00080F23" w:rsidP="00080F23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080F23" w:rsidRPr="00807106" w:rsidRDefault="00080F23" w:rsidP="00080F23">
      <w:pPr>
        <w:pStyle w:val="tkNazvanie"/>
        <w:numPr>
          <w:ilvl w:val="0"/>
          <w:numId w:val="36"/>
        </w:numPr>
        <w:spacing w:before="0" w:after="0" w:line="24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Введение</w:t>
      </w:r>
    </w:p>
    <w:p w:rsidR="00080F23" w:rsidRPr="00807106" w:rsidRDefault="00080F23" w:rsidP="00080F23">
      <w:pPr>
        <w:pStyle w:val="tkNazvanie"/>
        <w:spacing w:before="0" w:after="0" w:line="240" w:lineRule="auto"/>
        <w:ind w:left="360" w:right="0"/>
        <w:rPr>
          <w:rFonts w:ascii="Times New Roman" w:hAnsi="Times New Roman" w:cs="Times New Roman"/>
          <w:sz w:val="28"/>
          <w:szCs w:val="28"/>
        </w:rPr>
      </w:pPr>
    </w:p>
    <w:p w:rsidR="00080F23" w:rsidRPr="00807106" w:rsidRDefault="00080F23" w:rsidP="00080F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21459">
        <w:rPr>
          <w:rFonts w:ascii="Times New Roman" w:hAnsi="Times New Roman"/>
          <w:color w:val="000000"/>
          <w:sz w:val="28"/>
          <w:szCs w:val="28"/>
          <w:lang w:eastAsia="ru-RU"/>
        </w:rPr>
        <w:t>Вступление в 1998 году во Всемирную торговую организацию (ВТО) означало интеграцию Кыргызской Республики в международную торговую систему и диктовало проведение коренных реформ в области стандартизации и метрологии. Одним из краеугольных камней этой реформы явился переход к международным правилам и принципам в области технического регулирования и применения санитарных, ветеринарно-санитарных и фитосанитарных (далее - СФС) мер. Ранее термины «техническое регулирование», «сертификация», «аккредитация» не применялись в сфере юриспруденции и не входили в технический лексикон. Наряду со стандартизацией и метрологией, управлением качеством продукции, системами испытаний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2214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данные термины являются компонентами национальной инфраструктуры качества (далее - НИК), создаваемой и функционирующей на взаимосвязанных уровнях: предприятий, отраслей, государства.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НИК следует понимать как единую систему взаимосвязанных сфер деятельности по установлению, применению и соблюдению обязательных и добровольных требований к продукции, процессам проектирования, производства, строительства, монтажа, наладки, хранения, перевозки, реализации, эксплуатации, утилизации (далее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объекты технического регулирования), по оценке соответствия, а также по метрологии.</w:t>
      </w:r>
    </w:p>
    <w:p w:rsidR="00080F23" w:rsidRPr="00807106" w:rsidRDefault="00080F23" w:rsidP="00080F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Субъектами НИК являются: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государство и его органы;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производители и поставщики продукции и услуг;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организации, </w:t>
      </w:r>
      <w:r w:rsidRPr="00807106">
        <w:rPr>
          <w:rFonts w:ascii="Times New Roman" w:hAnsi="Times New Roman"/>
          <w:sz w:val="28"/>
          <w:szCs w:val="28"/>
          <w:lang w:eastAsia="ru-RU"/>
        </w:rPr>
        <w:t>осуществляющие деятельность в области стандартизации, сертификации, аккредитации, испытаний/исследований продукции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поверки и калибровки средств измерений;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потребители (рынки).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НИК и ее элементы охватывают множество отраслей и направлени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человеческой деятельности. Это промышленность, сельское хозяйство, строительство, энергетика, транспорт, торговля, наука, спорт, медицина. Более 70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% видов предпринимательской деятельности в той или иной степени связаны с НИК. Вопросы развития НИК республики являются неотъемлемыми составляющими экономической и социальной политики государства. Социальная функция НИК заключается в обеспечении безопасности продукции и иных объектов технического регулирования для жизни и здоровья людей, окружающей среды, предупреждения обмана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приобретателей продукции и пользователей услуг, а также в содействии выбору товаров и услуг на рынке.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Глобализация рынка и, как следствие, усиление конкуренции являются масштабным вызовом для Кыргызской Республики, являющейся членом ВТО, ряда межгосударственных региональных экономических организаций, а также участником двусторонних торгово-экономических соглашений.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Идет рост благосостояния и доходов населения, развитых и развивающихся стран, в том числе традиционных для Кыргызстана стран-партнеров (Россия, Казахстан 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р.), соответственно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увеличивается объем 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расширяется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спектр их потребностей в качественных товарах и услугах.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потребителей на данных рынках к качеству продукции возраста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из года в год. Гарантия безопасности и качества продукции становится главным критерием ее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оценки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покупателями. Это достигается наличием оптимальной НИК.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Концепция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разработана в связи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новыми обстоятельствами,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возникшими в связи с полноправным членством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Евразийско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 э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кономическо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оюз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- ЕАЭС).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Так,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таможенная территория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стала частью таможенной территории ЕАЭС; таможенные границы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Республики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таможенными границами ЕАЭС;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рынок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частью единого (общего) рынка ЕАЭС.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этой связи </w:t>
      </w:r>
      <w:r w:rsidRPr="006F67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дальнейшее развитие НИК республики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приобретает высокую степень актуальности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80F23" w:rsidRPr="00807106" w:rsidRDefault="00080F23" w:rsidP="00080F23">
      <w:pPr>
        <w:pStyle w:val="tkNazvanie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F23" w:rsidRPr="00807106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2. Основные принципы Концепции</w:t>
      </w:r>
    </w:p>
    <w:p w:rsidR="00080F23" w:rsidRPr="00807106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080F23" w:rsidRPr="00807106" w:rsidRDefault="00080F23" w:rsidP="00080F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Настоящая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Концепция направлена на обеспечение в К</w:t>
      </w:r>
      <w:r>
        <w:rPr>
          <w:rFonts w:ascii="Times New Roman" w:hAnsi="Times New Roman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еспублике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соблюдения основных принципов НИК: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 xml:space="preserve">1) установление обязательных требований к продукции или связанным с </w:t>
      </w:r>
      <w:r>
        <w:rPr>
          <w:rFonts w:ascii="Times New Roman" w:hAnsi="Times New Roman"/>
          <w:sz w:val="28"/>
          <w:szCs w:val="28"/>
          <w:lang w:eastAsia="ru-RU"/>
        </w:rPr>
        <w:t xml:space="preserve">этими </w:t>
      </w:r>
      <w:r w:rsidRPr="00807106">
        <w:rPr>
          <w:rFonts w:ascii="Times New Roman" w:hAnsi="Times New Roman"/>
          <w:sz w:val="28"/>
          <w:szCs w:val="28"/>
          <w:lang w:eastAsia="ru-RU"/>
        </w:rPr>
        <w:t>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807106">
        <w:rPr>
          <w:rFonts w:ascii="Times New Roman" w:hAnsi="Times New Roman"/>
          <w:sz w:val="28"/>
          <w:szCs w:val="28"/>
          <w:lang w:eastAsia="ru-RU"/>
        </w:rPr>
        <w:t>технических регламент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07106">
        <w:rPr>
          <w:rFonts w:ascii="Times New Roman" w:hAnsi="Times New Roman"/>
          <w:sz w:val="28"/>
          <w:szCs w:val="28"/>
          <w:lang w:eastAsia="ru-RU"/>
        </w:rPr>
        <w:t>) соответствие технического регулирования уровню экономического развития и уровню научно-технического развития;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07106">
        <w:rPr>
          <w:rFonts w:ascii="Times New Roman" w:hAnsi="Times New Roman"/>
          <w:sz w:val="28"/>
          <w:szCs w:val="28"/>
          <w:lang w:eastAsia="ru-RU"/>
        </w:rPr>
        <w:t>) независимость органов по аккредитации, органов по подтверждению соответствия и органов по надзору (контролю) от изготовителей, продавцов, исполнителей и приобретателей, в том числе потребителей;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07106">
        <w:rPr>
          <w:rFonts w:ascii="Times New Roman" w:hAnsi="Times New Roman"/>
          <w:sz w:val="28"/>
          <w:szCs w:val="28"/>
          <w:lang w:eastAsia="ru-RU"/>
        </w:rPr>
        <w:t>) единство правил и методов исследований (испытаний) и измерений при проведении процедур обязательной оценки соответствия;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07106">
        <w:rPr>
          <w:rFonts w:ascii="Times New Roman" w:hAnsi="Times New Roman"/>
          <w:sz w:val="28"/>
          <w:szCs w:val="28"/>
          <w:lang w:eastAsia="ru-RU"/>
        </w:rPr>
        <w:t>) единство применения требований технических регламентов независимо от видов и (или) особенностей сделок;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807106">
        <w:rPr>
          <w:rFonts w:ascii="Times New Roman" w:hAnsi="Times New Roman"/>
          <w:sz w:val="28"/>
          <w:szCs w:val="28"/>
          <w:lang w:eastAsia="ru-RU"/>
        </w:rPr>
        <w:t>) недопустимость ограничения конкуренции при осуществлении оценки соответствия;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7</w:t>
      </w:r>
      <w:r w:rsidRPr="00807106">
        <w:rPr>
          <w:rFonts w:ascii="Times New Roman" w:hAnsi="Times New Roman"/>
          <w:sz w:val="28"/>
          <w:szCs w:val="28"/>
          <w:lang w:eastAsia="ru-RU"/>
        </w:rPr>
        <w:t>) осуществление государственного контроля (надзора) за соблюдением требований технических регламентов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на основе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гармонизации законодательств государств - членов ЕАЭС</w:t>
      </w:r>
      <w:r w:rsidRPr="00807106">
        <w:rPr>
          <w:rFonts w:ascii="Times New Roman" w:hAnsi="Times New Roman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807106">
        <w:rPr>
          <w:rFonts w:ascii="Times New Roman" w:hAnsi="Times New Roman"/>
          <w:sz w:val="28"/>
          <w:szCs w:val="28"/>
          <w:lang w:eastAsia="ru-RU"/>
        </w:rPr>
        <w:t>) применение межгосударственных стандартов;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807106">
        <w:rPr>
          <w:rFonts w:ascii="Times New Roman" w:hAnsi="Times New Roman"/>
          <w:sz w:val="28"/>
          <w:szCs w:val="28"/>
          <w:lang w:eastAsia="ru-RU"/>
        </w:rPr>
        <w:t>) гармонизация межгосударственных стандартов с международными и региональными стандартами;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807106">
        <w:rPr>
          <w:rFonts w:ascii="Times New Roman" w:hAnsi="Times New Roman"/>
          <w:sz w:val="28"/>
          <w:szCs w:val="28"/>
          <w:lang w:eastAsia="ru-RU"/>
        </w:rPr>
        <w:t>) единство правил и процедур проведения обязательной оценки соответствия;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807106">
        <w:rPr>
          <w:rFonts w:ascii="Times New Roman" w:hAnsi="Times New Roman"/>
          <w:sz w:val="28"/>
          <w:szCs w:val="28"/>
          <w:lang w:eastAsia="ru-RU"/>
        </w:rPr>
        <w:t>) недопущение установления избыточных барьеров для ведения предпринимательской деятельности.</w:t>
      </w:r>
    </w:p>
    <w:p w:rsidR="00080F23" w:rsidRPr="00807106" w:rsidRDefault="00080F23" w:rsidP="00080F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0F23" w:rsidRPr="00807106" w:rsidRDefault="00080F23" w:rsidP="00080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5243B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807106">
        <w:rPr>
          <w:rFonts w:ascii="Times New Roman" w:hAnsi="Times New Roman"/>
          <w:b/>
          <w:sz w:val="28"/>
          <w:szCs w:val="28"/>
          <w:lang w:eastAsia="ru-RU"/>
        </w:rPr>
        <w:t>. Мировой опыт</w:t>
      </w:r>
    </w:p>
    <w:p w:rsidR="00080F23" w:rsidRPr="00807106" w:rsidRDefault="00080F23" w:rsidP="00080F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80F23" w:rsidRDefault="00080F23" w:rsidP="00080F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 xml:space="preserve">Промышленно развитые страны опираются в своей торговой деятельности на многочисленные стандарты и технические регламенты. </w:t>
      </w:r>
    </w:p>
    <w:p w:rsidR="00080F23" w:rsidRPr="00807106" w:rsidRDefault="00080F23" w:rsidP="00080F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выхода </w:t>
      </w:r>
      <w:r w:rsidRPr="00807106">
        <w:rPr>
          <w:rFonts w:ascii="Times New Roman" w:hAnsi="Times New Roman"/>
          <w:sz w:val="28"/>
          <w:szCs w:val="28"/>
          <w:lang w:eastAsia="ru-RU"/>
        </w:rPr>
        <w:t>на мировой рынок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развивающимся странам, в том числе Кыргызской Республике необходимо 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полагаться на связанные со стандартами средства, включающие доступ к стандартам, метрологии, испытаниям, оценке качества, </w:t>
      </w:r>
      <w:r>
        <w:rPr>
          <w:rFonts w:ascii="Times New Roman" w:hAnsi="Times New Roman"/>
          <w:sz w:val="28"/>
          <w:szCs w:val="28"/>
          <w:lang w:eastAsia="ru-RU"/>
        </w:rPr>
        <w:t xml:space="preserve">системам менеджмента, </w:t>
      </w:r>
      <w:r w:rsidRPr="00807106">
        <w:rPr>
          <w:rFonts w:ascii="Times New Roman" w:hAnsi="Times New Roman"/>
          <w:sz w:val="28"/>
          <w:szCs w:val="28"/>
          <w:lang w:eastAsia="ru-RU"/>
        </w:rPr>
        <w:t>сертификации и аккредитации.</w:t>
      </w:r>
    </w:p>
    <w:p w:rsidR="00080F23" w:rsidRDefault="00080F23" w:rsidP="00080F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 xml:space="preserve">Современная мировая торговля, главным образом, базируется на товарах, производимых с использованием высоких технологий, а не на сырье. Все без исключения компоненты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ИК необходимы для производства и торговли и тесно взаимосвязаны. </w:t>
      </w:r>
    </w:p>
    <w:p w:rsidR="00080F23" w:rsidRPr="00D31D88" w:rsidRDefault="00080F23" w:rsidP="00080F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D88">
        <w:rPr>
          <w:rFonts w:ascii="Times New Roman" w:hAnsi="Times New Roman"/>
          <w:sz w:val="28"/>
          <w:szCs w:val="28"/>
          <w:lang w:eastAsia="ru-RU"/>
        </w:rPr>
        <w:t>Развивающие</w:t>
      </w:r>
      <w:r>
        <w:rPr>
          <w:rFonts w:ascii="Times New Roman" w:hAnsi="Times New Roman"/>
          <w:sz w:val="28"/>
          <w:szCs w:val="28"/>
          <w:lang w:eastAsia="ru-RU"/>
        </w:rPr>
        <w:t>ся</w:t>
      </w:r>
      <w:r w:rsidRPr="00D31D88">
        <w:rPr>
          <w:rFonts w:ascii="Times New Roman" w:hAnsi="Times New Roman"/>
          <w:sz w:val="28"/>
          <w:szCs w:val="28"/>
          <w:lang w:eastAsia="ru-RU"/>
        </w:rPr>
        <w:t xml:space="preserve"> страны создают НИК как неотъемлемую часть деятельности по привлечению прямых иностранных инвестиций в их экономику.</w:t>
      </w:r>
    </w:p>
    <w:p w:rsidR="00080F23" w:rsidRPr="00D31D88" w:rsidRDefault="00080F23" w:rsidP="00080F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D88">
        <w:rPr>
          <w:rFonts w:ascii="Times New Roman" w:hAnsi="Times New Roman"/>
          <w:sz w:val="28"/>
          <w:szCs w:val="28"/>
          <w:lang w:eastAsia="ru-RU"/>
        </w:rPr>
        <w:t xml:space="preserve">Надлежащий уровень НИК обеспечивается путем применения международных стандартов, точных измерений, тестирования продукции, аккредитации органов по оценке соответствия. </w:t>
      </w:r>
    </w:p>
    <w:p w:rsidR="00080F23" w:rsidRPr="00D31D88" w:rsidRDefault="00080F23" w:rsidP="00080F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D88">
        <w:rPr>
          <w:rFonts w:ascii="Times New Roman" w:hAnsi="Times New Roman"/>
          <w:sz w:val="28"/>
          <w:szCs w:val="28"/>
          <w:lang w:eastAsia="ru-RU"/>
        </w:rPr>
        <w:t>Экспорт сельскохозяйственной и пищевой продукции также невозможен без соблюдения международных стандартов в области применения СФС мер.</w:t>
      </w:r>
    </w:p>
    <w:p w:rsidR="00080F23" w:rsidRPr="00D31D88" w:rsidRDefault="00080F23" w:rsidP="00080F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1D88">
        <w:rPr>
          <w:rFonts w:ascii="Times New Roman" w:hAnsi="Times New Roman"/>
          <w:sz w:val="28"/>
          <w:szCs w:val="28"/>
          <w:lang w:eastAsia="ru-RU"/>
        </w:rPr>
        <w:t>Система измерений должн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D31D88">
        <w:rPr>
          <w:rFonts w:ascii="Times New Roman" w:hAnsi="Times New Roman"/>
          <w:sz w:val="28"/>
          <w:szCs w:val="28"/>
          <w:lang w:eastAsia="ru-RU"/>
        </w:rPr>
        <w:t xml:space="preserve"> быть над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31D88">
        <w:rPr>
          <w:rFonts w:ascii="Times New Roman" w:hAnsi="Times New Roman"/>
          <w:sz w:val="28"/>
          <w:szCs w:val="28"/>
          <w:lang w:eastAsia="ru-RU"/>
        </w:rPr>
        <w:t xml:space="preserve">жной и прослеживаемой к международным эталонам. </w:t>
      </w:r>
    </w:p>
    <w:p w:rsidR="00080F23" w:rsidRPr="00807106" w:rsidRDefault="00080F23" w:rsidP="00080F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настоящее время страны-участники мирового сообщества, как  развитые, так и развивающиеся, разрабатывают и принимают концептуальные и программные документы по развитию НИК. </w:t>
      </w:r>
    </w:p>
    <w:p w:rsidR="00080F23" w:rsidRPr="00807106" w:rsidRDefault="00080F23" w:rsidP="00080F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80F23" w:rsidRPr="00672F52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672F52">
        <w:rPr>
          <w:rFonts w:ascii="Times New Roman" w:hAnsi="Times New Roman" w:cs="Times New Roman"/>
          <w:sz w:val="28"/>
          <w:szCs w:val="28"/>
        </w:rPr>
        <w:t xml:space="preserve">4. Общая оценка текущей ситуации </w:t>
      </w:r>
    </w:p>
    <w:p w:rsidR="00080F23" w:rsidRPr="00672F52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предыдущи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е годы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Кыргызская Республика строила собственную нормативно-правовую систему НИК,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 рамках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участи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я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С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одружестве Независимых Государств (далее – СНГ)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Евразийском экономическом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сообществе (далее –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ЕврАзЭС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а также ориентируясь на положения законодательств стран-партнеров в этих международных организациях, в первую очередь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Российской Федерации. Это дает возможность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проведения ускоренной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гармонизаци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законодательства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Кыргызской Республики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рамках участия в ЕАЭС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настоящее время существует ряд проблем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, связанны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х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 применением и соблюдением норм и правил ЕАЭС, созданием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надлежащей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технической и институциональной инфраструктуры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области технического регулирования и применения СФС мер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Договором о Евразийском экономическом союзе от 29 мая 2014 года (далее – Договор о ЕАЭС) государства-члены ЕАЭС ве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дут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совместную политику в области технического регулирования, обеспечения единства измерений, применения СФС мер.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ая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роль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отводится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Евразийской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э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кономической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омиссии (далее - ЕЭК), которой переданы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полномочия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 принятию актов, имеющих прямое действие в государствах-членах ЕАЭС и обязательны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х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 применению. Правоприменение Договора о ЕАЭС и актов ЕЭК возложено на соответствующие органы К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Отдельные положения в области технического регулирования и применения СФС мер определяются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 соответствии с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законодательством К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В технических регламентах ЕАЭС устанавливаются технические требования к объектам технического регулирования, требования и процедуры к сельскохозяйственным товарам, относящиеся к области применения СФС мер, а также правила идентификации продукции и процедуры оценки соответствия. </w:t>
      </w:r>
    </w:p>
    <w:p w:rsidR="00080F23" w:rsidRPr="00807106" w:rsidRDefault="00080F23" w:rsidP="00080F23">
      <w:pPr>
        <w:spacing w:after="0" w:line="240" w:lineRule="auto"/>
        <w:ind w:firstLine="33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Default="00080F23" w:rsidP="00080F23">
      <w:pPr>
        <w:spacing w:after="0" w:line="240" w:lineRule="auto"/>
        <w:ind w:firstLine="33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/>
          <w:color w:val="000000"/>
          <w:sz w:val="28"/>
          <w:szCs w:val="28"/>
          <w:lang w:eastAsia="ru-RU"/>
        </w:rPr>
        <w:t>§ 1. Обязательные требования к объектам технического регулирования</w:t>
      </w:r>
    </w:p>
    <w:p w:rsidR="00080F23" w:rsidRPr="00807106" w:rsidRDefault="00080F23" w:rsidP="00080F23">
      <w:pPr>
        <w:spacing w:after="0" w:line="240" w:lineRule="auto"/>
        <w:ind w:firstLine="33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Обязательные к применению и соблюдению требования к объектам технического регулирования устанавливаются техническими регламентами ЕАЭС на продукцию, включенн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ую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Единый перечень продукции, в отношении которой устанавливаются обязательные требования в рамках ЕАЭС.</w:t>
      </w:r>
    </w:p>
    <w:p w:rsidR="00080F23" w:rsidRPr="00807106" w:rsidRDefault="00080F23" w:rsidP="00080F2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Договором о ЕАЭС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е</w:t>
      </w:r>
      <w:r w:rsidRPr="00807106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диные санитарные требования к продукции включаются в соответствующие технические регламенты ЕАЭС. В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технических регламентах ЕАЭС содержатся ветеринарно-санитарные и карантинные фитосанитарные требования, имеющие общий характер. </w:t>
      </w:r>
    </w:p>
    <w:p w:rsidR="00080F23" w:rsidRPr="00807106" w:rsidRDefault="00080F23" w:rsidP="00080F2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Техническими регламентами устанавливаются обязательные требования по энергетической эффективности и ресурсосбережению. </w:t>
      </w:r>
    </w:p>
    <w:p w:rsidR="00080F23" w:rsidRPr="00807106" w:rsidRDefault="00080F23" w:rsidP="00080F2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 территории К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с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12 февраля 2016 года вступили в силу 12 технических регламентов ЕАЭС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12 августа 2016 года вступают в силу 3 технических регламента ЕАЭС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12 августа 2017 года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вступают в силу 18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технических регламентов ЕАЭС.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12 августа 2019 года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вступает в силу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1 технический регламент ЕАЭС.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 дня вступления в силу технического регламента ЕАЭС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соответствующие технические регламенты К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не применяются.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Единые санитарные требования и ветеринарно-санитарные требования ЕАЭС вступили в силу в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еспублике с 12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августа 2015 года. </w:t>
      </w:r>
    </w:p>
    <w:p w:rsidR="00080F23" w:rsidRPr="00250CD5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0CD5">
        <w:rPr>
          <w:rFonts w:ascii="Times New Roman" w:hAnsi="Times New Roman"/>
          <w:sz w:val="28"/>
          <w:szCs w:val="28"/>
          <w:lang w:eastAsia="ru-RU"/>
        </w:rPr>
        <w:t xml:space="preserve">В Кыргызской Республике действуют 47 технических регламентов. </w:t>
      </w:r>
    </w:p>
    <w:p w:rsidR="00080F23" w:rsidRPr="00250CD5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0CD5">
        <w:rPr>
          <w:rFonts w:ascii="Times New Roman" w:hAnsi="Times New Roman"/>
          <w:sz w:val="28"/>
          <w:szCs w:val="28"/>
          <w:lang w:eastAsia="ru-RU"/>
        </w:rPr>
        <w:t>Вместе с тем, на ряд товаров отсутствуют технические регламенты и нормативные правовые акты Кыргызской Республики, в отношении котор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250CD5">
        <w:rPr>
          <w:rFonts w:ascii="Times New Roman" w:hAnsi="Times New Roman"/>
          <w:sz w:val="28"/>
          <w:szCs w:val="28"/>
          <w:lang w:eastAsia="ru-RU"/>
        </w:rPr>
        <w:t xml:space="preserve"> устанавливаются обязательные требования.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CD0">
        <w:rPr>
          <w:rFonts w:ascii="Times New Roman" w:hAnsi="Times New Roman"/>
          <w:sz w:val="28"/>
          <w:szCs w:val="28"/>
          <w:lang w:eastAsia="ru-RU"/>
        </w:rPr>
        <w:t xml:space="preserve">Со вступлением в силу Договора о ЕАЭС большинство пробелов устраняются путем прямого применения на территории Кыргызской Республики </w:t>
      </w:r>
      <w:r>
        <w:rPr>
          <w:rFonts w:ascii="Times New Roman" w:hAnsi="Times New Roman"/>
          <w:sz w:val="28"/>
          <w:szCs w:val="28"/>
          <w:lang w:eastAsia="ru-RU"/>
        </w:rPr>
        <w:t xml:space="preserve">технических регламентов ЕАЭС и иных </w:t>
      </w:r>
      <w:r w:rsidRPr="00360CD0">
        <w:rPr>
          <w:rFonts w:ascii="Times New Roman" w:hAnsi="Times New Roman"/>
          <w:sz w:val="28"/>
          <w:szCs w:val="28"/>
          <w:lang w:eastAsia="ru-RU"/>
        </w:rPr>
        <w:t xml:space="preserve">актов ЕЭК. </w:t>
      </w:r>
    </w:p>
    <w:p w:rsidR="00080F23" w:rsidRPr="00250CD5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0CD5">
        <w:rPr>
          <w:rFonts w:ascii="Times New Roman" w:hAnsi="Times New Roman"/>
          <w:sz w:val="28"/>
          <w:szCs w:val="28"/>
          <w:lang w:eastAsia="ru-RU"/>
        </w:rPr>
        <w:t xml:space="preserve">В настоящее время в Кыргызской Республике поэтапно снимаются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вопросы </w:t>
      </w:r>
      <w:r w:rsidRPr="00250CD5">
        <w:rPr>
          <w:rFonts w:ascii="Times New Roman" w:hAnsi="Times New Roman"/>
          <w:sz w:val="28"/>
          <w:szCs w:val="28"/>
          <w:lang w:eastAsia="ru-RU"/>
        </w:rPr>
        <w:t>нормативного правового обеспечения в области применения СФС</w:t>
      </w:r>
      <w:r>
        <w:rPr>
          <w:rFonts w:ascii="Times New Roman" w:hAnsi="Times New Roman"/>
          <w:sz w:val="28"/>
          <w:szCs w:val="28"/>
          <w:lang w:eastAsia="ru-RU"/>
        </w:rPr>
        <w:t xml:space="preserve"> мер</w:t>
      </w:r>
      <w:r w:rsidRPr="00250CD5">
        <w:rPr>
          <w:rFonts w:ascii="Times New Roman" w:hAnsi="Times New Roman"/>
          <w:sz w:val="28"/>
          <w:szCs w:val="28"/>
          <w:lang w:eastAsia="ru-RU"/>
        </w:rPr>
        <w:t xml:space="preserve"> в отношении сельскохозяйственной продукции.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Приняты постановления </w:t>
      </w:r>
      <w:r w:rsidRPr="00250CD5">
        <w:rPr>
          <w:rFonts w:ascii="Times New Roman" w:hAnsi="Times New Roman"/>
          <w:sz w:val="28"/>
          <w:szCs w:val="28"/>
          <w:lang w:eastAsia="ru-RU"/>
        </w:rPr>
        <w:t>Правительств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250CD5">
        <w:rPr>
          <w:rFonts w:ascii="Times New Roman" w:hAnsi="Times New Roman"/>
          <w:sz w:val="28"/>
          <w:szCs w:val="28"/>
          <w:lang w:eastAsia="ru-RU"/>
        </w:rPr>
        <w:t xml:space="preserve"> Кыргызской Республики «Об утверждении карантинных фитосанитарных правил Кыргызской Республики и Положения о порядке выдачи фитосанитарных, реэкспортных фитосанитарных и карантинных сертификатов</w:t>
      </w:r>
      <w:r w:rsidRPr="00250CD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250CD5">
        <w:rPr>
          <w:rFonts w:ascii="Times New Roman" w:hAnsi="Times New Roman"/>
          <w:sz w:val="28"/>
          <w:szCs w:val="28"/>
          <w:lang w:eastAsia="ru-RU"/>
        </w:rPr>
        <w:t xml:space="preserve">от 18 июня 2015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250CD5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0CD5">
        <w:rPr>
          <w:rFonts w:ascii="Times New Roman" w:hAnsi="Times New Roman"/>
          <w:sz w:val="28"/>
          <w:szCs w:val="28"/>
          <w:lang w:eastAsia="ru-RU"/>
        </w:rPr>
        <w:t>376</w:t>
      </w:r>
      <w:r>
        <w:rPr>
          <w:rFonts w:ascii="Times New Roman" w:hAnsi="Times New Roman"/>
          <w:sz w:val="28"/>
          <w:szCs w:val="28"/>
          <w:lang w:eastAsia="ru-RU"/>
        </w:rPr>
        <w:t xml:space="preserve"> и «</w:t>
      </w:r>
      <w:r w:rsidRPr="00250CD5">
        <w:rPr>
          <w:rFonts w:ascii="Times New Roman" w:hAnsi="Times New Roman"/>
          <w:sz w:val="28"/>
          <w:szCs w:val="28"/>
          <w:lang w:eastAsia="ru-RU"/>
        </w:rPr>
        <w:t>Об утверждении первоочередных ветеринарно-санитарных требований по предупреждению болезней животных</w:t>
      </w:r>
      <w:r>
        <w:rPr>
          <w:rFonts w:ascii="Times New Roman" w:hAnsi="Times New Roman"/>
          <w:sz w:val="28"/>
          <w:szCs w:val="28"/>
          <w:lang w:eastAsia="ru-RU"/>
        </w:rPr>
        <w:t>» от 18 июня 2015 года № 377.</w:t>
      </w:r>
    </w:p>
    <w:p w:rsidR="00080F23" w:rsidRPr="00672F52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F52">
        <w:rPr>
          <w:rFonts w:ascii="Times New Roman" w:hAnsi="Times New Roman"/>
          <w:sz w:val="28"/>
          <w:szCs w:val="28"/>
          <w:lang w:eastAsia="ru-RU"/>
        </w:rPr>
        <w:t xml:space="preserve">Принятые в соответствии с Договором о ЕАЭС технические регламенты ЕАЭС и иные акты ЕЭК имеют прямое действие после их вступления в силу на территории Кыргызской Республики. </w:t>
      </w:r>
    </w:p>
    <w:p w:rsidR="00080F23" w:rsidRPr="00672F52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2F52">
        <w:rPr>
          <w:rFonts w:ascii="Times New Roman" w:hAnsi="Times New Roman"/>
          <w:sz w:val="28"/>
          <w:szCs w:val="28"/>
          <w:lang w:eastAsia="ru-RU"/>
        </w:rPr>
        <w:t xml:space="preserve">Переход на технические регламенты ЕАЭС для предприятий и соответствующих государственных органов Кыргызской Республики требует осуществления необходимых организационно-технических мероприятий.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/>
          <w:color w:val="000000"/>
          <w:sz w:val="28"/>
          <w:szCs w:val="28"/>
          <w:lang w:eastAsia="ru-RU"/>
        </w:rPr>
        <w:t>§ 2. Добровольные требования</w:t>
      </w:r>
    </w:p>
    <w:p w:rsidR="00080F23" w:rsidRPr="00807106" w:rsidRDefault="00080F23" w:rsidP="00080F2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Требования к объектам технического регулирования, применение которых является добровольным, устанавливаются в стандартах либо спецификациях (технических условиях). В соответствии с Договором о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ЕАЭС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международные, межгосударственные стандарты, а в случае их отсутствия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-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национальные стандарты государств-членов могут применяться на добровольной основе для выполнения требований технических регламентов ЕАЭС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 w:rsidRPr="00250CD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до принятия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межгосударственных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стандартов. Перечень таких стандартов устанавливается Решениями ЕЭК применительно к конкретному техническому регламенту ЕАЭС.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Участие в Межгосударственном совете по стандартизации, метрологии и сертификации СНГ (далее – МГС), а также наличие ряда двусторонних межправительственных соглашений в области стандартизации, сертификации и метрологии, в первую очередь с Российской Федерацией, сформировало собственную национальную систему стандартизации, что способствует удовлетворению потребностей экономики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стандартах.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>По состоянию на 1 января 2016 года в К</w:t>
      </w:r>
      <w:r>
        <w:rPr>
          <w:rFonts w:ascii="Times New Roman" w:hAnsi="Times New Roman"/>
          <w:sz w:val="28"/>
          <w:szCs w:val="28"/>
        </w:rPr>
        <w:t xml:space="preserve">ыргызской </w:t>
      </w:r>
      <w:r w:rsidRPr="0080710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еспублике</w:t>
      </w:r>
      <w:r w:rsidRPr="00807106">
        <w:rPr>
          <w:rFonts w:ascii="Times New Roman" w:hAnsi="Times New Roman"/>
          <w:sz w:val="28"/>
          <w:szCs w:val="28"/>
        </w:rPr>
        <w:t xml:space="preserve"> применяется около 23400 стандартов</w:t>
      </w:r>
      <w:r>
        <w:rPr>
          <w:rFonts w:ascii="Times New Roman" w:hAnsi="Times New Roman"/>
          <w:sz w:val="28"/>
          <w:szCs w:val="28"/>
        </w:rPr>
        <w:t>,</w:t>
      </w:r>
      <w:r w:rsidRPr="00807106">
        <w:rPr>
          <w:rFonts w:ascii="Times New Roman" w:hAnsi="Times New Roman"/>
          <w:sz w:val="28"/>
          <w:szCs w:val="28"/>
        </w:rPr>
        <w:t xml:space="preserve"> из которых:</w:t>
      </w:r>
    </w:p>
    <w:p w:rsidR="00080F23" w:rsidRPr="00807106" w:rsidRDefault="00080F23" w:rsidP="00080F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7106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106">
        <w:rPr>
          <w:rFonts w:ascii="Times New Roman" w:hAnsi="Times New Roman"/>
          <w:sz w:val="28"/>
          <w:szCs w:val="28"/>
        </w:rPr>
        <w:t>% (20750 единиц) составляют межгосударственные стандарты (ГОСТ);</w:t>
      </w:r>
    </w:p>
    <w:p w:rsidR="00080F23" w:rsidRPr="00807106" w:rsidRDefault="00080F23" w:rsidP="00080F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710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106">
        <w:rPr>
          <w:rFonts w:ascii="Times New Roman" w:hAnsi="Times New Roman"/>
          <w:sz w:val="28"/>
          <w:szCs w:val="28"/>
        </w:rPr>
        <w:t>% (1860 единиц) национальные стандарты Российской Федерации (ГОСТ Р);</w:t>
      </w:r>
    </w:p>
    <w:p w:rsidR="00080F23" w:rsidRPr="00807106" w:rsidRDefault="00080F23" w:rsidP="00080F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710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106">
        <w:rPr>
          <w:rFonts w:ascii="Times New Roman" w:hAnsi="Times New Roman"/>
          <w:sz w:val="28"/>
          <w:szCs w:val="28"/>
        </w:rPr>
        <w:t>% (730 единиц) национальные стандарты Кыргызской Республики (КМС);</w:t>
      </w:r>
    </w:p>
    <w:p w:rsidR="00080F23" w:rsidRPr="00807106" w:rsidRDefault="00080F23" w:rsidP="00080F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7106">
        <w:rPr>
          <w:rFonts w:ascii="Times New Roman" w:hAnsi="Times New Roman"/>
          <w:sz w:val="28"/>
          <w:szCs w:val="28"/>
        </w:rPr>
        <w:t>0,1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106">
        <w:rPr>
          <w:rFonts w:ascii="Times New Roman" w:hAnsi="Times New Roman"/>
          <w:sz w:val="28"/>
          <w:szCs w:val="28"/>
        </w:rPr>
        <w:t>% (80 единиц) национал</w:t>
      </w:r>
      <w:r>
        <w:rPr>
          <w:rFonts w:ascii="Times New Roman" w:hAnsi="Times New Roman"/>
          <w:sz w:val="28"/>
          <w:szCs w:val="28"/>
        </w:rPr>
        <w:t xml:space="preserve">ьные стандарты зарубежных стран </w:t>
      </w:r>
      <w:r w:rsidRPr="00807106">
        <w:rPr>
          <w:rFonts w:ascii="Times New Roman" w:hAnsi="Times New Roman"/>
          <w:sz w:val="28"/>
          <w:szCs w:val="28"/>
        </w:rPr>
        <w:t>(Белорус</w:t>
      </w:r>
      <w:r>
        <w:rPr>
          <w:rFonts w:ascii="Times New Roman" w:hAnsi="Times New Roman"/>
          <w:sz w:val="28"/>
          <w:szCs w:val="28"/>
        </w:rPr>
        <w:t>сии</w:t>
      </w:r>
      <w:r w:rsidRPr="00807106">
        <w:rPr>
          <w:rFonts w:ascii="Times New Roman" w:hAnsi="Times New Roman"/>
          <w:sz w:val="28"/>
          <w:szCs w:val="28"/>
        </w:rPr>
        <w:t xml:space="preserve">, Казахстана, КНР, Турции, Малайзии, США и др.). </w:t>
      </w:r>
    </w:p>
    <w:p w:rsidR="00080F23" w:rsidRPr="00807106" w:rsidRDefault="00080F23" w:rsidP="00080F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>Уровень гармонизации всех применяемых в К</w:t>
      </w:r>
      <w:r>
        <w:rPr>
          <w:rFonts w:ascii="Times New Roman" w:hAnsi="Times New Roman"/>
          <w:sz w:val="28"/>
          <w:szCs w:val="28"/>
        </w:rPr>
        <w:t xml:space="preserve">ыргызской </w:t>
      </w:r>
      <w:r w:rsidRPr="0080710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еспублике</w:t>
      </w:r>
      <w:r w:rsidRPr="00807106">
        <w:rPr>
          <w:rFonts w:ascii="Times New Roman" w:hAnsi="Times New Roman"/>
          <w:sz w:val="28"/>
          <w:szCs w:val="28"/>
        </w:rPr>
        <w:t xml:space="preserve"> стандартов с международными и европейскими стандартами в настоящее время составляет 52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106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, то есть </w:t>
      </w:r>
      <w:r w:rsidRPr="00807106">
        <w:rPr>
          <w:rFonts w:ascii="Times New Roman" w:hAnsi="Times New Roman"/>
          <w:sz w:val="28"/>
          <w:szCs w:val="28"/>
        </w:rPr>
        <w:t xml:space="preserve">12170 применяемых в </w:t>
      </w:r>
      <w:r>
        <w:rPr>
          <w:rFonts w:ascii="Times New Roman" w:hAnsi="Times New Roman"/>
          <w:sz w:val="28"/>
          <w:szCs w:val="28"/>
        </w:rPr>
        <w:t xml:space="preserve">республике </w:t>
      </w:r>
      <w:r w:rsidRPr="00807106">
        <w:rPr>
          <w:rFonts w:ascii="Times New Roman" w:hAnsi="Times New Roman"/>
          <w:sz w:val="28"/>
          <w:szCs w:val="28"/>
        </w:rPr>
        <w:t>стандартов гармонизирован</w:t>
      </w:r>
      <w:r>
        <w:rPr>
          <w:rFonts w:ascii="Times New Roman" w:hAnsi="Times New Roman"/>
          <w:sz w:val="28"/>
          <w:szCs w:val="28"/>
        </w:rPr>
        <w:t>ы</w:t>
      </w:r>
      <w:r w:rsidRPr="00807106">
        <w:rPr>
          <w:rFonts w:ascii="Times New Roman" w:hAnsi="Times New Roman"/>
          <w:sz w:val="28"/>
          <w:szCs w:val="28"/>
        </w:rPr>
        <w:t xml:space="preserve"> с международными и европейскими стандартами</w:t>
      </w:r>
      <w:r>
        <w:rPr>
          <w:rFonts w:ascii="Times New Roman" w:hAnsi="Times New Roman"/>
          <w:sz w:val="28"/>
          <w:szCs w:val="28"/>
        </w:rPr>
        <w:t xml:space="preserve">, из которых </w:t>
      </w:r>
      <w:r w:rsidRPr="00807106">
        <w:rPr>
          <w:rFonts w:ascii="Times New Roman" w:hAnsi="Times New Roman"/>
          <w:sz w:val="28"/>
          <w:szCs w:val="28"/>
        </w:rPr>
        <w:t>в качестве идентичных и (частично) модифицированных европейских стандартов</w:t>
      </w:r>
      <w:r>
        <w:rPr>
          <w:rFonts w:ascii="Times New Roman" w:hAnsi="Times New Roman"/>
          <w:sz w:val="28"/>
          <w:szCs w:val="28"/>
        </w:rPr>
        <w:t xml:space="preserve"> принято</w:t>
      </w:r>
      <w:r w:rsidRPr="00807106">
        <w:rPr>
          <w:rFonts w:ascii="Times New Roman" w:hAnsi="Times New Roman"/>
          <w:sz w:val="28"/>
          <w:szCs w:val="28"/>
        </w:rPr>
        <w:t xml:space="preserve"> 815 единиц</w:t>
      </w:r>
      <w:r>
        <w:rPr>
          <w:rFonts w:ascii="Times New Roman" w:hAnsi="Times New Roman"/>
          <w:sz w:val="28"/>
          <w:szCs w:val="28"/>
        </w:rPr>
        <w:t>.</w:t>
      </w:r>
    </w:p>
    <w:p w:rsidR="00080F23" w:rsidRPr="00807106" w:rsidRDefault="00080F23" w:rsidP="00080F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>Остальные гармонизированные стандарты в количестве 11355 единиц были приняты в качестве идентичных (модифицированных) стандартов Международной организации по стандартизации (</w:t>
      </w:r>
      <w:r w:rsidRPr="00807106">
        <w:rPr>
          <w:rFonts w:ascii="Times New Roman" w:hAnsi="Times New Roman"/>
          <w:sz w:val="28"/>
          <w:szCs w:val="28"/>
          <w:lang w:val="en-US"/>
        </w:rPr>
        <w:t>ISO</w:t>
      </w:r>
      <w:r w:rsidRPr="00807106">
        <w:rPr>
          <w:rFonts w:ascii="Times New Roman" w:hAnsi="Times New Roman"/>
          <w:sz w:val="28"/>
          <w:szCs w:val="28"/>
        </w:rPr>
        <w:t>) и Международной электротехнической комиссии (</w:t>
      </w:r>
      <w:r w:rsidRPr="00807106">
        <w:rPr>
          <w:rFonts w:ascii="Times New Roman" w:hAnsi="Times New Roman"/>
          <w:sz w:val="28"/>
          <w:szCs w:val="28"/>
          <w:lang w:val="en-US"/>
        </w:rPr>
        <w:t>IE</w:t>
      </w:r>
      <w:r>
        <w:rPr>
          <w:rFonts w:ascii="Times New Roman" w:hAnsi="Times New Roman"/>
          <w:sz w:val="28"/>
          <w:szCs w:val="28"/>
        </w:rPr>
        <w:t>С</w:t>
      </w:r>
      <w:r w:rsidRPr="00807106">
        <w:rPr>
          <w:rFonts w:ascii="Times New Roman" w:hAnsi="Times New Roman"/>
          <w:sz w:val="28"/>
          <w:szCs w:val="28"/>
        </w:rPr>
        <w:t xml:space="preserve">) через межгосударственные стандарты. </w:t>
      </w:r>
    </w:p>
    <w:p w:rsidR="00080F23" w:rsidRDefault="00080F23" w:rsidP="00080F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>Для повышения конкурентоспособности отечественной продукции на внешних рынках</w:t>
      </w:r>
      <w:r>
        <w:rPr>
          <w:rFonts w:ascii="Times New Roman" w:hAnsi="Times New Roman"/>
          <w:sz w:val="28"/>
          <w:szCs w:val="28"/>
        </w:rPr>
        <w:t xml:space="preserve"> необходимо:</w:t>
      </w:r>
    </w:p>
    <w:p w:rsidR="00080F23" w:rsidRPr="00807106" w:rsidRDefault="00080F23" w:rsidP="00080F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7106">
        <w:rPr>
          <w:rFonts w:ascii="Times New Roman" w:hAnsi="Times New Roman"/>
          <w:sz w:val="28"/>
          <w:szCs w:val="28"/>
        </w:rPr>
        <w:t xml:space="preserve">активизировать </w:t>
      </w:r>
      <w:r>
        <w:rPr>
          <w:rFonts w:ascii="Times New Roman" w:hAnsi="Times New Roman"/>
          <w:sz w:val="28"/>
          <w:szCs w:val="28"/>
        </w:rPr>
        <w:t xml:space="preserve">работу </w:t>
      </w:r>
      <w:r w:rsidRPr="00807106">
        <w:rPr>
          <w:rFonts w:ascii="Times New Roman" w:hAnsi="Times New Roman"/>
          <w:sz w:val="28"/>
          <w:szCs w:val="28"/>
        </w:rPr>
        <w:t>по принятию современных международных стандартов и получению (приобретению) европейских стандартов;</w:t>
      </w:r>
    </w:p>
    <w:p w:rsidR="00080F23" w:rsidRDefault="00080F23" w:rsidP="00080F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74233">
        <w:rPr>
          <w:rFonts w:ascii="Times New Roman" w:hAnsi="Times New Roman"/>
          <w:sz w:val="28"/>
          <w:szCs w:val="28"/>
        </w:rPr>
        <w:t>ежегодно осуществлять переработку до 10 национальных стандартов на наиболее перспективные виды кыргызской продукции в межгосударственные стандарты;</w:t>
      </w:r>
    </w:p>
    <w:p w:rsidR="00080F23" w:rsidRDefault="00080F23" w:rsidP="00080F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7106">
        <w:rPr>
          <w:rFonts w:ascii="Times New Roman" w:hAnsi="Times New Roman"/>
          <w:sz w:val="28"/>
          <w:szCs w:val="28"/>
        </w:rPr>
        <w:t>обеспечить принятие и применение международных и региональных стандартов, стандартов и других нормативных документов</w:t>
      </w:r>
      <w:r w:rsidRPr="00FD0504">
        <w:rPr>
          <w:rFonts w:ascii="Times New Roman" w:hAnsi="Times New Roman"/>
          <w:sz w:val="28"/>
          <w:szCs w:val="28"/>
        </w:rPr>
        <w:t xml:space="preserve"> </w:t>
      </w:r>
      <w:r w:rsidRPr="00807106">
        <w:rPr>
          <w:rFonts w:ascii="Times New Roman" w:hAnsi="Times New Roman"/>
          <w:sz w:val="28"/>
          <w:szCs w:val="28"/>
        </w:rPr>
        <w:t>в области энергоэффективности и ресурсосбережения</w:t>
      </w:r>
      <w:r>
        <w:rPr>
          <w:rFonts w:ascii="Times New Roman" w:hAnsi="Times New Roman"/>
          <w:sz w:val="28"/>
          <w:szCs w:val="28"/>
        </w:rPr>
        <w:t>.</w:t>
      </w:r>
    </w:p>
    <w:p w:rsidR="00080F23" w:rsidRPr="00807106" w:rsidRDefault="00080F23" w:rsidP="00080F2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§ 3. Оценка соответствия</w:t>
      </w:r>
    </w:p>
    <w:p w:rsidR="00080F23" w:rsidRPr="00807106" w:rsidRDefault="00080F23" w:rsidP="00080F2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Оценка соответствия объектов технического регулирования, устанавливаемая в технических регламентах ЕАЭС, проводится в формах государственной регистрации, подтверждения соответствия, экспертизы, испытаний и (или) в иной форме. Ряд форм оценки соответствия применя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тся в качестве СФС мер в отношении сельскохозяйственных товаров.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Проведение обязательной оценки соответствия, предусмотренное техническими регламентами ЕАЭС, а также иными актами ЕЭК в области применения СФС мер, явля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тся условием доступа продукции на рынок ЕАЭС.</w:t>
      </w:r>
    </w:p>
    <w:p w:rsidR="00080F23" w:rsidRPr="00807106" w:rsidRDefault="00080F23" w:rsidP="00080F2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/>
          <w:color w:val="000000"/>
          <w:sz w:val="28"/>
          <w:szCs w:val="28"/>
          <w:lang w:eastAsia="ru-RU"/>
        </w:rPr>
        <w:t>§ 3.1. Подтверждение соответствия</w:t>
      </w:r>
    </w:p>
    <w:p w:rsidR="00080F23" w:rsidRPr="00807106" w:rsidRDefault="00080F23" w:rsidP="00080F2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Обязательное подтверждение соответствия осуществляется в формах декларирования соответствия и сертификации, схемы и процедуры которых устанавливаются в технических регламентах ЕАЭС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Документами о подтверждении соответствия техническим регламентам ЕАЭС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зависимости от вида продукции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являются сертификат соответствия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декларация о соответствии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оформленные по Единым формам ЕАЭС. 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Заявителем для получения сертификата соответствия или принятия декларации о соответствии по Единым формам ЕАЭС могут быть исключительно юридические или физические лица, зарегистрированные в государствах-членах ЕАЭС. 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Сертификаты соответствия техническим регламентам ЕАЭС вправе выдавать только аккредитованные органы по сертификации, включенные в Единый реестр органов по сертификации и испытательных лабораторий  ЕАЭС (далее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Единый реестр органов по оценке соответствия).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 вступления в силу технических регламентов ЕАЭС вопросы доступа товаров на местный рынок регулируются законодательством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, в частности 47 действующим техническими регламентами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Кыргызской Республики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, постановлени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ями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Правительства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«Об обязательном подтверждении соответствия продукции» от 30 декабря 2005 года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639, «Об обязательном подтверждении соответствия продукции в форме принятия декларации о соответствии» от 23 октября 2007 года № 512.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Перечнем </w:t>
      </w:r>
      <w:r w:rsidRPr="00B943A3">
        <w:rPr>
          <w:rFonts w:ascii="Times New Roman" w:hAnsi="Times New Roman"/>
          <w:color w:val="000000"/>
          <w:sz w:val="28"/>
          <w:szCs w:val="28"/>
          <w:lang w:eastAsia="ru-RU"/>
        </w:rPr>
        <w:t>продукции, подлежащей обязательному подтверждению соответствия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утвержденным постановлением Правительства Кыргызской Республики от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30 декабря 2005 года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639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обязательному подтверждению соответствия подлеж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т 187 товарных позиций.</w:t>
      </w:r>
    </w:p>
    <w:p w:rsidR="00080F23" w:rsidRDefault="00080F23" w:rsidP="00080F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бязательную сертификацию проводят 14 аккредитованных органов по сертификации с различной областью аккредитации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 которых 6 включены в Единый Реестр органов по оценке соответствия ЕАЭС. </w:t>
      </w:r>
    </w:p>
    <w:p w:rsidR="00080F23" w:rsidRPr="00807106" w:rsidRDefault="00080F23" w:rsidP="00080F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/>
          <w:color w:val="000000"/>
          <w:sz w:val="28"/>
          <w:szCs w:val="28"/>
          <w:lang w:eastAsia="ru-RU"/>
        </w:rPr>
        <w:t>§ 3.2. Государственная регистрация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техническими регламентами ЕАЭС государственной регистрации подлежат такие виды продукции, как: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пищевая продукция нового вида, специализированная пищевая продукция (продукция для питания беременных и кормящих женщин, спортсменов, детей, для диетического питания); биологические активные добавки; некоторые виды минеральных вод;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одежда для детей до 3-х летнего возраста.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В технических регламентах ЕАЭС на пищевую продукцию введена обязательная оценка процессов производства в форме государственной регистрации производственных объектов по: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убою продуктивных животных и птицы, их переработке; 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приему сырого молока, сырых молочных продуктов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их переработке; 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производству и переработка яиц сельскохозяйственной птицы;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производству и переработке продукции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квакультуры и улову водных биологических ресурсов (нерыбные объекты промысла).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/>
          <w:color w:val="000000"/>
          <w:sz w:val="28"/>
          <w:szCs w:val="28"/>
          <w:lang w:eastAsia="ru-RU"/>
        </w:rPr>
        <w:t>§ 3.3. Экспертиза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Техническими регламентами ЕАЭС предусматривается оценка соответствия непереработанной пищевой продукции животного происхождения в форме ветеринарно-санитарной экспертизы. Проведение ветеринарно-санитарной экспертизы и оформление ее результатов осуществля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тся в соответствии с законодательством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При разработке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проектов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нормативных правовых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актов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области ветеринари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необходимо учитывать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вопросы институционального обеспечения и лабораторной инфраструктуры с учетом практики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государств-член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ЕАЭС.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/>
          <w:color w:val="000000"/>
          <w:sz w:val="28"/>
          <w:szCs w:val="28"/>
          <w:lang w:eastAsia="ru-RU"/>
        </w:rPr>
        <w:t>§ 3.4. Ветеринарная и фитосанитарная сертификация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Договором о ЕАЭС условием поставки товаров, подлежащих ветеринарному и фитосанитарному контролю, из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государства-члены ЕАЭС являются ветеринарный сертификат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393F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подтверждающи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безопасность в ветеринарно-санитарном отношении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фитосанитарный сертификат, подтверждающи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безопасность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фитосанитарном отношении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благополучие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административных территорий мест производства этих товаров в отношении наличия болезней и вредителей. 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Процедуры ветеринарной и фитосанитарной сертификации устанавливаются законодательством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основе соответствующих международных стандартов Всемирной организации здоровья животных (далее - МЭБ) и Международной конвенции карантина и защиты растений.     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/>
          <w:color w:val="000000"/>
          <w:sz w:val="28"/>
          <w:szCs w:val="28"/>
          <w:lang w:eastAsia="ru-RU"/>
        </w:rPr>
        <w:t>§ 3.5. Испытания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Проведение 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спытания/исследования объектов технического регулирования требуется для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целей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обязательной оценки соответствия техническим регламентам ЕАЭС;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производственного контроля, предусмотренного техническими регламентами;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оформления ветеринарных и фитосанитарных сертификатов;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диагностических исследований, лабораторного мониторинга остатков запрещенных и вредных веществ в организме живых животных, продукции животного происхождения и др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осуществления государственного контроля (надзора).  </w:t>
      </w:r>
    </w:p>
    <w:p w:rsidR="00080F23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зависимости от установленных конкретными техническими регламентами ЕАЭС форм и схем обязательной оценки </w:t>
      </w:r>
      <w:r w:rsidRPr="00807106">
        <w:rPr>
          <w:rFonts w:ascii="Times New Roman" w:hAnsi="Times New Roman"/>
          <w:sz w:val="28"/>
          <w:szCs w:val="28"/>
          <w:lang w:eastAsia="ru-RU"/>
        </w:rPr>
        <w:t>соответствия продукции, испытания</w:t>
      </w:r>
      <w:r w:rsidRPr="0080710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sz w:val="28"/>
          <w:szCs w:val="28"/>
          <w:lang w:eastAsia="ru-RU"/>
        </w:rPr>
        <w:t>осуществляются в аккредитованных лабораториях, внесенных в Единый реестр органов по оценке соответствия ЕАЭС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80F23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настоящее время в Кыргызской Республике отмечается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недостаточный уровень технической компетентности лабораторной инфраструктуры в отраслевом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и в региональном разрезе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 частности: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80F23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отсутствуют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лаборатори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, способны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протестировать пищев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ую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сельскохозяйственную продукцию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на количественное содержание нитрозаминов, антибиотиков, радионуклида Стронций 90, гормональных препаратов, бензапирена, меламина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др.;</w:t>
      </w:r>
    </w:p>
    <w:p w:rsidR="00080F23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уществующие лаборатории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испытаний продукции легкой промышленности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могут протестировать не более 15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% обязательных требований,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установленных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техническими регламентами ЕАЭС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о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сновная лабораторная 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инфраструктура сосредоточена в городах Бишкек и Ош, в то время как остальные регионы испытывают дефицит в лабораторном обеспечении. </w:t>
      </w:r>
      <w:r>
        <w:rPr>
          <w:rFonts w:ascii="Times New Roman" w:hAnsi="Times New Roman"/>
          <w:sz w:val="28"/>
          <w:szCs w:val="28"/>
          <w:lang w:eastAsia="ru-RU"/>
        </w:rPr>
        <w:t xml:space="preserve">Многие </w:t>
      </w:r>
      <w:r w:rsidRPr="00807106">
        <w:rPr>
          <w:rFonts w:ascii="Times New Roman" w:hAnsi="Times New Roman"/>
          <w:sz w:val="28"/>
          <w:szCs w:val="28"/>
          <w:lang w:eastAsia="ru-RU"/>
        </w:rPr>
        <w:t>предприяти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среднего и малого бизнеса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sz w:val="28"/>
          <w:szCs w:val="28"/>
          <w:lang w:eastAsia="ru-RU"/>
        </w:rPr>
        <w:t>не</w:t>
      </w:r>
      <w:r>
        <w:rPr>
          <w:rFonts w:ascii="Times New Roman" w:hAnsi="Times New Roman"/>
          <w:sz w:val="28"/>
          <w:szCs w:val="28"/>
          <w:lang w:eastAsia="ru-RU"/>
        </w:rPr>
        <w:t xml:space="preserve"> имею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т </w:t>
      </w:r>
      <w:r>
        <w:rPr>
          <w:rFonts w:ascii="Times New Roman" w:hAnsi="Times New Roman"/>
          <w:sz w:val="28"/>
          <w:szCs w:val="28"/>
          <w:lang w:eastAsia="ru-RU"/>
        </w:rPr>
        <w:t xml:space="preserve">собственных </w:t>
      </w:r>
      <w:r w:rsidRPr="00807106">
        <w:rPr>
          <w:rFonts w:ascii="Times New Roman" w:hAnsi="Times New Roman"/>
          <w:sz w:val="28"/>
          <w:szCs w:val="28"/>
          <w:lang w:eastAsia="ru-RU"/>
        </w:rPr>
        <w:t>производственных лабораторий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В ходе подготовки к присоединению К</w:t>
      </w:r>
      <w:r>
        <w:rPr>
          <w:rFonts w:ascii="Times New Roman" w:hAnsi="Times New Roman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к ЕАЭС Правительство К</w:t>
      </w:r>
      <w:r>
        <w:rPr>
          <w:rFonts w:ascii="Times New Roman" w:hAnsi="Times New Roman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определило вопросы улучшения лабораторной инфраструктуры в качестве важнейшего приоритета. Принято решение о направлении выделяемой помощи со стороны России и Казахстана на поддержку лабораторной инфраструктуры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республики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080F23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/>
          <w:color w:val="000000"/>
          <w:sz w:val="28"/>
          <w:szCs w:val="28"/>
          <w:lang w:eastAsia="ru-RU"/>
        </w:rPr>
        <w:t>§ 3.6. Производственный контроль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 системы менеджмента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Технические регламенты ЕАЭС устанавливают требовани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организации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производственного контроля. </w:t>
      </w:r>
    </w:p>
    <w:p w:rsidR="00080F23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осуществлении процессов производства (изготовления) пищевой продукции, связанных с требованиями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ее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безопасности, изготовитель должен разработать, внедрить и поддерживать процедуры, основанные на принципах ХАССП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(анализ рисков и критические контрольные точки)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61DC">
        <w:rPr>
          <w:rFonts w:ascii="Times New Roman" w:hAnsi="Times New Roman"/>
          <w:color w:val="000000"/>
          <w:sz w:val="28"/>
          <w:szCs w:val="28"/>
        </w:rPr>
        <w:t>Внедр</w:t>
      </w:r>
      <w:r>
        <w:rPr>
          <w:rFonts w:ascii="Times New Roman" w:hAnsi="Times New Roman"/>
          <w:color w:val="000000"/>
          <w:sz w:val="28"/>
          <w:szCs w:val="28"/>
        </w:rPr>
        <w:t xml:space="preserve">ение </w:t>
      </w:r>
      <w:r w:rsidRPr="00B061DC">
        <w:rPr>
          <w:rFonts w:ascii="Times New Roman" w:hAnsi="Times New Roman"/>
          <w:color w:val="000000"/>
          <w:sz w:val="28"/>
          <w:szCs w:val="28"/>
        </w:rPr>
        <w:t>и поддерж</w:t>
      </w:r>
      <w:r>
        <w:rPr>
          <w:rFonts w:ascii="Times New Roman" w:hAnsi="Times New Roman"/>
          <w:color w:val="000000"/>
          <w:sz w:val="28"/>
          <w:szCs w:val="28"/>
        </w:rPr>
        <w:t xml:space="preserve">ание </w:t>
      </w:r>
      <w:r w:rsidRPr="00B061DC">
        <w:rPr>
          <w:rFonts w:ascii="Times New Roman" w:hAnsi="Times New Roman"/>
          <w:color w:val="000000"/>
          <w:sz w:val="28"/>
          <w:szCs w:val="28"/>
        </w:rPr>
        <w:t>систем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B061DC">
        <w:rPr>
          <w:rFonts w:ascii="Times New Roman" w:hAnsi="Times New Roman"/>
          <w:color w:val="000000"/>
          <w:sz w:val="28"/>
          <w:szCs w:val="28"/>
        </w:rPr>
        <w:t xml:space="preserve"> ХАССП субъект</w:t>
      </w:r>
      <w:r>
        <w:rPr>
          <w:rFonts w:ascii="Times New Roman" w:hAnsi="Times New Roman"/>
          <w:color w:val="000000"/>
          <w:sz w:val="28"/>
          <w:szCs w:val="28"/>
        </w:rPr>
        <w:t>ами</w:t>
      </w:r>
      <w:r w:rsidRPr="00B061DC">
        <w:rPr>
          <w:rFonts w:ascii="Times New Roman" w:hAnsi="Times New Roman"/>
          <w:color w:val="000000"/>
          <w:sz w:val="28"/>
          <w:szCs w:val="28"/>
        </w:rPr>
        <w:t xml:space="preserve"> малого и среднего бизнеса </w:t>
      </w:r>
      <w:r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 w:rsidRPr="00B061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одним из важнейших направлений развития НИК. </w:t>
      </w:r>
    </w:p>
    <w:p w:rsidR="00080F23" w:rsidRPr="00C5601B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60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повышения конкурентоспособности местной продукции требуется разработка и реализация специальных г</w:t>
      </w:r>
      <w:r w:rsidRPr="00C560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осударственных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C5601B">
        <w:rPr>
          <w:rFonts w:ascii="Times New Roman" w:hAnsi="Times New Roman"/>
          <w:color w:val="000000"/>
          <w:sz w:val="28"/>
          <w:szCs w:val="28"/>
          <w:lang w:eastAsia="ru-RU"/>
        </w:rPr>
        <w:t>рограмм, стимулирующих внедрение систем менеджмента на предприятиях республики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основанных на международных стандартах</w:t>
      </w:r>
      <w:r w:rsidRPr="00C5601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ажным направлением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развития этого компонента НИК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является </w:t>
      </w:r>
      <w:r w:rsidRPr="00C560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кадрового </w:t>
      </w:r>
      <w:r w:rsidRPr="00C560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потенциала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государственных органов, бизнес-структур, консалтинговых компаний в сфере внедрения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ХАССП на системной основе.        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§ 4. Аккредитация </w:t>
      </w:r>
    </w:p>
    <w:p w:rsidR="00080F23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07106">
        <w:rPr>
          <w:rFonts w:ascii="Times New Roman" w:hAnsi="Times New Roman"/>
          <w:sz w:val="28"/>
          <w:szCs w:val="28"/>
        </w:rPr>
        <w:t>ациональная система аккредитации приведена в соответствие с международными нормами и правилами и соответствует требованиям ЕАЭС.</w:t>
      </w:r>
    </w:p>
    <w:p w:rsidR="00080F23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2013 году </w:t>
      </w:r>
      <w:r w:rsidRPr="00807106">
        <w:rPr>
          <w:rFonts w:ascii="Times New Roman" w:hAnsi="Times New Roman"/>
          <w:sz w:val="28"/>
          <w:szCs w:val="28"/>
        </w:rPr>
        <w:t>Кыргызск</w:t>
      </w:r>
      <w:r>
        <w:rPr>
          <w:rFonts w:ascii="Times New Roman" w:hAnsi="Times New Roman"/>
          <w:sz w:val="28"/>
          <w:szCs w:val="28"/>
        </w:rPr>
        <w:t>ий</w:t>
      </w:r>
      <w:r w:rsidRPr="00807106">
        <w:rPr>
          <w:rFonts w:ascii="Times New Roman" w:hAnsi="Times New Roman"/>
          <w:sz w:val="28"/>
          <w:szCs w:val="28"/>
        </w:rPr>
        <w:t xml:space="preserve"> центр аккредитации</w:t>
      </w:r>
      <w:r>
        <w:rPr>
          <w:rFonts w:ascii="Times New Roman" w:hAnsi="Times New Roman"/>
          <w:sz w:val="28"/>
          <w:szCs w:val="28"/>
        </w:rPr>
        <w:t xml:space="preserve"> при Министерстве экономики Кыргызской Республики </w:t>
      </w:r>
      <w:r w:rsidRPr="00807106">
        <w:rPr>
          <w:rFonts w:ascii="Times New Roman" w:hAnsi="Times New Roman"/>
          <w:sz w:val="28"/>
          <w:szCs w:val="28"/>
        </w:rPr>
        <w:t>(далее - КЦА)</w:t>
      </w:r>
      <w:r>
        <w:rPr>
          <w:rFonts w:ascii="Times New Roman" w:hAnsi="Times New Roman"/>
          <w:sz w:val="28"/>
          <w:szCs w:val="28"/>
        </w:rPr>
        <w:t xml:space="preserve">, осуществляющий функции национального органа по аккредитации, стал полноправным </w:t>
      </w:r>
      <w:r w:rsidRPr="00807106"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</w:rPr>
        <w:t>ом Международного сотрудничества по аккредитации лабораторий (</w:t>
      </w:r>
      <w:r w:rsidRPr="00807106">
        <w:rPr>
          <w:rFonts w:ascii="Times New Roman" w:hAnsi="Times New Roman"/>
          <w:sz w:val="28"/>
          <w:szCs w:val="28"/>
          <w:lang w:val="en-US"/>
        </w:rPr>
        <w:t>ILAC</w:t>
      </w:r>
      <w:r>
        <w:rPr>
          <w:rFonts w:ascii="Times New Roman" w:hAnsi="Times New Roman"/>
          <w:sz w:val="28"/>
          <w:szCs w:val="28"/>
        </w:rPr>
        <w:t xml:space="preserve">), что </w:t>
      </w:r>
      <w:r w:rsidRPr="00807106">
        <w:rPr>
          <w:rFonts w:ascii="Times New Roman" w:hAnsi="Times New Roman"/>
          <w:sz w:val="28"/>
          <w:szCs w:val="28"/>
        </w:rPr>
        <w:t>свидетельству</w:t>
      </w:r>
      <w:r>
        <w:rPr>
          <w:rFonts w:ascii="Times New Roman" w:hAnsi="Times New Roman"/>
          <w:sz w:val="28"/>
          <w:szCs w:val="28"/>
        </w:rPr>
        <w:t>е</w:t>
      </w:r>
      <w:r w:rsidRPr="00807106">
        <w:rPr>
          <w:rFonts w:ascii="Times New Roman" w:hAnsi="Times New Roman"/>
          <w:sz w:val="28"/>
          <w:szCs w:val="28"/>
        </w:rPr>
        <w:t xml:space="preserve">т о соблюдении международных норм и правил. </w:t>
      </w:r>
    </w:p>
    <w:p w:rsidR="00080F23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</w:t>
      </w:r>
      <w:r w:rsidRPr="00807106">
        <w:rPr>
          <w:rFonts w:ascii="Times New Roman" w:hAnsi="Times New Roman"/>
          <w:sz w:val="28"/>
          <w:szCs w:val="28"/>
        </w:rPr>
        <w:t xml:space="preserve">имеется потребность </w:t>
      </w:r>
      <w:r>
        <w:rPr>
          <w:rFonts w:ascii="Times New Roman" w:hAnsi="Times New Roman"/>
          <w:sz w:val="28"/>
          <w:szCs w:val="28"/>
        </w:rPr>
        <w:t xml:space="preserve">КЦА в </w:t>
      </w:r>
      <w:r w:rsidRPr="00807106">
        <w:rPr>
          <w:rFonts w:ascii="Times New Roman" w:hAnsi="Times New Roman"/>
          <w:bCs/>
          <w:sz w:val="28"/>
          <w:szCs w:val="28"/>
        </w:rPr>
        <w:t>освоени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807106">
        <w:rPr>
          <w:rFonts w:ascii="Times New Roman" w:hAnsi="Times New Roman"/>
          <w:bCs/>
          <w:sz w:val="28"/>
          <w:szCs w:val="28"/>
        </w:rPr>
        <w:t xml:space="preserve"> новых направлений по аккредитации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 xml:space="preserve">Государства-члены ЕАЭС взаимно признают аккредитацию органов по оценке соответствия </w:t>
      </w:r>
      <w:r>
        <w:rPr>
          <w:rFonts w:ascii="Times New Roman" w:hAnsi="Times New Roman"/>
          <w:sz w:val="28"/>
          <w:szCs w:val="28"/>
        </w:rPr>
        <w:t xml:space="preserve">при соблюдении </w:t>
      </w:r>
      <w:r w:rsidRPr="00807106">
        <w:rPr>
          <w:rFonts w:ascii="Times New Roman" w:hAnsi="Times New Roman"/>
          <w:sz w:val="28"/>
          <w:szCs w:val="28"/>
        </w:rPr>
        <w:t>следующих условий: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 xml:space="preserve">- </w:t>
      </w:r>
      <w:r w:rsidRPr="00807106">
        <w:rPr>
          <w:rFonts w:ascii="Times New Roman" w:hAnsi="Times New Roman"/>
          <w:bCs/>
          <w:sz w:val="28"/>
          <w:szCs w:val="28"/>
        </w:rPr>
        <w:t>правила и подходы в области аккредитации основываются на международных стандартах и определяются национальным законодательством государств-членов ЕАЭС;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07106">
        <w:rPr>
          <w:rFonts w:ascii="Times New Roman" w:hAnsi="Times New Roman"/>
          <w:bCs/>
          <w:sz w:val="28"/>
          <w:szCs w:val="28"/>
        </w:rPr>
        <w:t>- принцип неконкуренции органов по аккредитации государств-членов ЕАЭС. Органы по оценке соответствия подают заявку на аккредитацию в орган по аккредитации того государства-члена ЕАЭС, на территории которого он</w:t>
      </w:r>
      <w:r>
        <w:rPr>
          <w:rFonts w:ascii="Times New Roman" w:hAnsi="Times New Roman"/>
          <w:bCs/>
          <w:sz w:val="28"/>
          <w:szCs w:val="28"/>
        </w:rPr>
        <w:t>и</w:t>
      </w:r>
      <w:r w:rsidRPr="00807106">
        <w:rPr>
          <w:rFonts w:ascii="Times New Roman" w:hAnsi="Times New Roman"/>
          <w:bCs/>
          <w:sz w:val="28"/>
          <w:szCs w:val="28"/>
        </w:rPr>
        <w:t xml:space="preserve"> зарегистрирован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807106">
        <w:rPr>
          <w:rFonts w:ascii="Times New Roman" w:hAnsi="Times New Roman"/>
          <w:bCs/>
          <w:sz w:val="28"/>
          <w:szCs w:val="28"/>
        </w:rPr>
        <w:t xml:space="preserve"> в качестве юридического лица;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07106">
        <w:rPr>
          <w:rFonts w:ascii="Times New Roman" w:hAnsi="Times New Roman"/>
          <w:bCs/>
          <w:sz w:val="28"/>
          <w:szCs w:val="28"/>
        </w:rPr>
        <w:t xml:space="preserve">- не допускается совмещение одним органом полномочий по </w:t>
      </w:r>
      <w:r w:rsidRPr="00807106">
        <w:rPr>
          <w:rFonts w:ascii="Times New Roman" w:hAnsi="Times New Roman"/>
          <w:bCs/>
          <w:sz w:val="28"/>
          <w:szCs w:val="28"/>
        </w:rPr>
        <w:lastRenderedPageBreak/>
        <w:t xml:space="preserve">аккредитации и по государственному </w:t>
      </w:r>
      <w:r>
        <w:rPr>
          <w:rFonts w:ascii="Times New Roman" w:hAnsi="Times New Roman"/>
          <w:bCs/>
          <w:sz w:val="28"/>
          <w:szCs w:val="28"/>
        </w:rPr>
        <w:t>контролю (</w:t>
      </w:r>
      <w:r w:rsidRPr="00807106">
        <w:rPr>
          <w:rFonts w:ascii="Times New Roman" w:hAnsi="Times New Roman"/>
          <w:bCs/>
          <w:sz w:val="28"/>
          <w:szCs w:val="28"/>
        </w:rPr>
        <w:t>надзору</w:t>
      </w:r>
      <w:r>
        <w:rPr>
          <w:rFonts w:ascii="Times New Roman" w:hAnsi="Times New Roman"/>
          <w:bCs/>
          <w:sz w:val="28"/>
          <w:szCs w:val="28"/>
        </w:rPr>
        <w:t>)</w:t>
      </w:r>
      <w:r w:rsidRPr="00807106">
        <w:rPr>
          <w:rFonts w:ascii="Times New Roman" w:hAnsi="Times New Roman"/>
          <w:bCs/>
          <w:sz w:val="28"/>
          <w:szCs w:val="28"/>
        </w:rPr>
        <w:t>, а также по оценке соответствия;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bCs/>
          <w:sz w:val="28"/>
          <w:szCs w:val="28"/>
        </w:rPr>
        <w:t>- органы по аккредитации государств-членов ЕАЭС</w:t>
      </w:r>
      <w:r w:rsidRPr="008071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07106">
        <w:rPr>
          <w:rFonts w:ascii="Times New Roman" w:hAnsi="Times New Roman"/>
          <w:bCs/>
          <w:sz w:val="28"/>
          <w:szCs w:val="28"/>
        </w:rPr>
        <w:t>осуществляют взаимные сравнительные оценки с целью достижения равнозначности применяемых процедур</w:t>
      </w:r>
      <w:r w:rsidRPr="00807106">
        <w:rPr>
          <w:rFonts w:ascii="Times New Roman" w:hAnsi="Times New Roman"/>
          <w:sz w:val="28"/>
          <w:szCs w:val="28"/>
        </w:rPr>
        <w:t>.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/>
          <w:color w:val="000000"/>
          <w:sz w:val="28"/>
          <w:szCs w:val="28"/>
          <w:lang w:eastAsia="ru-RU"/>
        </w:rPr>
        <w:t>§ 5. Государственный контроль (надзор) за соблюдением обязательных требований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принятием Закона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«О порядке проведения проверок субъектов предпринимательства»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вмешательство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контролирующих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органов в деятельность субъектов предпринимательства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снизилось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. Периодичность проведения плановых проверок определяется степенью риска, присвоенной субъекту на основании критериев, утвержденных Правительством Кыргызской Республики. Решением Жогорку Кенеша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ыргызской Республики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определены государственные органы, имеющие право осуществлять государственный контроль (надзор) за соблюдени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требований законодательства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 </w:t>
      </w:r>
    </w:p>
    <w:p w:rsidR="00080F23" w:rsidRPr="00807106" w:rsidRDefault="00080F23" w:rsidP="00080F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осударственный контроль (надзор) за соблюдением обязательных требований технических регламентов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ЕАЭС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проводится в порядке, установленном законодательством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Кыргызской Республики. </w:t>
      </w:r>
    </w:p>
    <w:p w:rsidR="00080F23" w:rsidRPr="00807106" w:rsidRDefault="00080F23" w:rsidP="00080F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Учи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тывая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членство республики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в ЕАЭС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предстоит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провести реформу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системы государственного контроля (надзора)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учетом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международного договора в рамках ЕАЭС о принципах и подходах к гармонизации законодательства государств-членов ЕАЭС в сфере государственного контроля (надзора) за соблюдением требований технических регламентов ЕАЭС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Р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азработка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принятие данного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международного договора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предусматривается </w:t>
      </w:r>
      <w:r w:rsidRPr="0080710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абочим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anchor="p34" w:tooltip="Ссылка на текущий документ" w:history="1">
        <w:r w:rsidRPr="00807106">
          <w:rPr>
            <w:rFonts w:ascii="Times New Roman" w:hAnsi="Times New Roman"/>
            <w:color w:val="000000"/>
            <w:sz w:val="28"/>
            <w:szCs w:val="28"/>
            <w:lang w:eastAsia="ru-RU"/>
          </w:rPr>
          <w:t>план</w:t>
        </w:r>
      </w:hyperlink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разработки актов и международных договоров в соответствии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tooltip="Ссылка на список документов" w:history="1">
        <w:r w:rsidRPr="00807106">
          <w:rPr>
            <w:rFonts w:ascii="Times New Roman" w:hAnsi="Times New Roman"/>
            <w:color w:val="000000"/>
            <w:sz w:val="28"/>
            <w:szCs w:val="28"/>
            <w:lang w:eastAsia="ru-RU"/>
          </w:rPr>
          <w:t>Договором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 Евразийском экономическом союзе от 29 мая 2014 года, утвержденным Решением Совета ЕЭК от 16 июля 2014 года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58.</w:t>
      </w:r>
    </w:p>
    <w:p w:rsidR="00080F23" w:rsidRPr="00807106" w:rsidRDefault="00080F23" w:rsidP="00080F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/>
          <w:color w:val="000000"/>
          <w:sz w:val="28"/>
          <w:szCs w:val="28"/>
          <w:lang w:eastAsia="ru-RU"/>
        </w:rPr>
        <w:t>§ 6. Метрология</w:t>
      </w:r>
    </w:p>
    <w:p w:rsidR="00080F23" w:rsidRPr="00807106" w:rsidRDefault="00080F23" w:rsidP="00080F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807106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Pr="00807106">
        <w:rPr>
          <w:rFonts w:ascii="Times New Roman" w:hAnsi="Times New Roman"/>
          <w:sz w:val="28"/>
          <w:szCs w:val="28"/>
          <w:lang w:eastAsia="ru-RU"/>
        </w:rPr>
        <w:t>авовой основой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sz w:val="28"/>
          <w:szCs w:val="28"/>
          <w:lang w:eastAsia="ru-RU"/>
        </w:rPr>
        <w:t>метрологи</w:t>
      </w:r>
      <w:r>
        <w:rPr>
          <w:rFonts w:ascii="Times New Roman" w:hAnsi="Times New Roman"/>
          <w:sz w:val="28"/>
          <w:szCs w:val="28"/>
          <w:lang w:eastAsia="ru-RU"/>
        </w:rPr>
        <w:t>ческого обеспечения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является Закон Кыргызской Республики «Об обеспечении единства измерений». </w:t>
      </w:r>
      <w:r>
        <w:rPr>
          <w:rFonts w:ascii="Times New Roman" w:hAnsi="Times New Roman"/>
          <w:sz w:val="28"/>
          <w:szCs w:val="28"/>
          <w:lang w:eastAsia="ru-RU"/>
        </w:rPr>
        <w:t>Данный З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акон </w:t>
      </w:r>
      <w:r>
        <w:rPr>
          <w:rFonts w:ascii="Times New Roman" w:hAnsi="Times New Roman"/>
          <w:sz w:val="28"/>
          <w:szCs w:val="28"/>
          <w:lang w:eastAsia="ru-RU"/>
        </w:rPr>
        <w:t>соответствует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положениям и рекомендациям документов Международной организации по законодательной метрологии</w:t>
      </w:r>
      <w:r>
        <w:rPr>
          <w:rFonts w:ascii="Times New Roman" w:hAnsi="Times New Roman"/>
          <w:sz w:val="28"/>
          <w:szCs w:val="28"/>
          <w:lang w:eastAsia="ru-RU"/>
        </w:rPr>
        <w:t xml:space="preserve"> (МОЗМ)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, а также положениям Договора о ЕАЭС. 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Состояние исходных эталонов Кыргызской Республики характеризуется следующими данными:</w:t>
      </w:r>
    </w:p>
    <w:p w:rsidR="00080F23" w:rsidRPr="00807106" w:rsidRDefault="00080F23" w:rsidP="00080F23">
      <w:pPr>
        <w:numPr>
          <w:ilvl w:val="0"/>
          <w:numId w:val="2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 xml:space="preserve">16 % исходных эталонов используются более 25 лет; </w:t>
      </w:r>
    </w:p>
    <w:p w:rsidR="00080F23" w:rsidRPr="00807106" w:rsidRDefault="00080F23" w:rsidP="00080F23">
      <w:pPr>
        <w:numPr>
          <w:ilvl w:val="0"/>
          <w:numId w:val="2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 xml:space="preserve">22 % исходных эталонов используются около 20 лет; </w:t>
      </w:r>
    </w:p>
    <w:p w:rsidR="00080F23" w:rsidRPr="00807106" w:rsidRDefault="00080F23" w:rsidP="00080F23">
      <w:pPr>
        <w:numPr>
          <w:ilvl w:val="0"/>
          <w:numId w:val="2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lastRenderedPageBreak/>
        <w:t xml:space="preserve">35 % исходных эталонов используются 15 лет; </w:t>
      </w:r>
    </w:p>
    <w:p w:rsidR="00080F23" w:rsidRPr="00807106" w:rsidRDefault="00080F23" w:rsidP="00080F23">
      <w:pPr>
        <w:numPr>
          <w:ilvl w:val="0"/>
          <w:numId w:val="2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20 % исходных эталонов используются свыше 10 лет;</w:t>
      </w:r>
    </w:p>
    <w:p w:rsidR="00080F23" w:rsidRPr="00807106" w:rsidRDefault="00080F23" w:rsidP="00080F23">
      <w:pPr>
        <w:numPr>
          <w:ilvl w:val="0"/>
          <w:numId w:val="27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3 % исходных эталонов используются около 5 лет.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 xml:space="preserve">Период обновления средств измерений составляет 15-20 лет, а по отдельным видам 5-7 лет, </w:t>
      </w:r>
      <w:r>
        <w:rPr>
          <w:rFonts w:ascii="Times New Roman" w:hAnsi="Times New Roman"/>
          <w:sz w:val="28"/>
          <w:szCs w:val="28"/>
          <w:lang w:eastAsia="ru-RU"/>
        </w:rPr>
        <w:t>в связи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с чем обновлению эталонной базы подлеж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807106">
        <w:rPr>
          <w:rFonts w:ascii="Times New Roman" w:hAnsi="Times New Roman"/>
          <w:sz w:val="28"/>
          <w:szCs w:val="28"/>
          <w:lang w:eastAsia="ru-RU"/>
        </w:rPr>
        <w:t>т не менее 75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% исходных эталонов.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В настоящее время в мире новое поколение интеллектуальных средств измерений в сфере учета электроэнергии, газа, тепла, воды вытесня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07106">
        <w:rPr>
          <w:rFonts w:ascii="Times New Roman" w:hAnsi="Times New Roman"/>
          <w:sz w:val="28"/>
          <w:szCs w:val="28"/>
          <w:lang w:eastAsia="ru-RU"/>
        </w:rPr>
        <w:t>т применение традиционных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средств измерений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Согласно рекомендациям</w:t>
      </w:r>
      <w:r w:rsidRPr="00607511">
        <w:t xml:space="preserve"> </w:t>
      </w:r>
      <w:r w:rsidRPr="00607511">
        <w:rPr>
          <w:rFonts w:ascii="Times New Roman" w:hAnsi="Times New Roman"/>
          <w:sz w:val="28"/>
          <w:szCs w:val="28"/>
          <w:lang w:eastAsia="ru-RU"/>
        </w:rPr>
        <w:t>Региональн</w:t>
      </w:r>
      <w:r>
        <w:rPr>
          <w:rFonts w:ascii="Times New Roman" w:hAnsi="Times New Roman"/>
          <w:sz w:val="28"/>
          <w:szCs w:val="28"/>
          <w:lang w:eastAsia="ru-RU"/>
        </w:rPr>
        <w:t xml:space="preserve">ой </w:t>
      </w:r>
      <w:r w:rsidRPr="00607511">
        <w:rPr>
          <w:rFonts w:ascii="Times New Roman" w:hAnsi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607511">
        <w:rPr>
          <w:rFonts w:ascii="Times New Roman" w:hAnsi="Times New Roman"/>
          <w:sz w:val="28"/>
          <w:szCs w:val="28"/>
          <w:lang w:eastAsia="ru-RU"/>
        </w:rPr>
        <w:t xml:space="preserve"> Экономического и Социального Совета ООН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- </w:t>
      </w:r>
      <w:r w:rsidRPr="00807106">
        <w:rPr>
          <w:rFonts w:ascii="Times New Roman" w:hAnsi="Times New Roman"/>
          <w:sz w:val="28"/>
          <w:szCs w:val="28"/>
          <w:lang w:eastAsia="ru-RU"/>
        </w:rPr>
        <w:t>ЕЭК ООН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развивающим</w:t>
      </w:r>
      <w:r>
        <w:rPr>
          <w:rFonts w:ascii="Times New Roman" w:hAnsi="Times New Roman"/>
          <w:sz w:val="28"/>
          <w:szCs w:val="28"/>
          <w:lang w:eastAsia="ru-RU"/>
        </w:rPr>
        <w:t>ся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странам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поддержки и развития национальных эталонных баз </w:t>
      </w:r>
      <w:r>
        <w:rPr>
          <w:rFonts w:ascii="Times New Roman" w:hAnsi="Times New Roman"/>
          <w:sz w:val="28"/>
          <w:szCs w:val="28"/>
          <w:lang w:eastAsia="ru-RU"/>
        </w:rPr>
        <w:t xml:space="preserve">необходимо обеспечивать 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ежегодное </w:t>
      </w:r>
      <w:r>
        <w:rPr>
          <w:rFonts w:ascii="Times New Roman" w:hAnsi="Times New Roman"/>
          <w:sz w:val="28"/>
          <w:szCs w:val="28"/>
          <w:lang w:eastAsia="ru-RU"/>
        </w:rPr>
        <w:t xml:space="preserve">государственное бюджетное </w:t>
      </w:r>
      <w:r w:rsidRPr="00807106">
        <w:rPr>
          <w:rFonts w:ascii="Times New Roman" w:hAnsi="Times New Roman"/>
          <w:sz w:val="28"/>
          <w:szCs w:val="28"/>
          <w:lang w:eastAsia="ru-RU"/>
        </w:rPr>
        <w:t>финансирование в объемах не менее 0,005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sz w:val="28"/>
          <w:szCs w:val="28"/>
          <w:lang w:eastAsia="ru-RU"/>
        </w:rPr>
        <w:t>% от ВВП.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истема калибровки средств измерений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Кыргызской Республики </w:t>
      </w:r>
      <w:r w:rsidRPr="00807106">
        <w:rPr>
          <w:rFonts w:ascii="Times New Roman" w:hAnsi="Times New Roman"/>
          <w:sz w:val="28"/>
          <w:szCs w:val="28"/>
          <w:lang w:eastAsia="ru-RU"/>
        </w:rPr>
        <w:t>находится на стадии внедрения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настоящее время 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калибровочные лаборатории национального органа по метрологии оказывают услуги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807106">
        <w:rPr>
          <w:rFonts w:ascii="Times New Roman" w:hAnsi="Times New Roman"/>
          <w:sz w:val="28"/>
          <w:szCs w:val="28"/>
          <w:lang w:eastAsia="ru-RU"/>
        </w:rPr>
        <w:t>калибровк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средств измерений по таким видам измерений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как: 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sz w:val="28"/>
          <w:szCs w:val="28"/>
          <w:lang w:eastAsia="ru-RU"/>
        </w:rPr>
        <w:t>масса (гири и весы)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sz w:val="28"/>
          <w:szCs w:val="28"/>
          <w:lang w:eastAsia="ru-RU"/>
        </w:rPr>
        <w:t>температура, давление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физико-химические измерения (рН-метрия, малый объем,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sz w:val="28"/>
          <w:szCs w:val="28"/>
          <w:lang w:eastAsia="ru-RU"/>
        </w:rPr>
        <w:t>кондуктометрия)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07106">
        <w:rPr>
          <w:rFonts w:ascii="Times New Roman" w:hAnsi="Times New Roman"/>
          <w:sz w:val="28"/>
          <w:szCs w:val="28"/>
          <w:lang w:eastAsia="ru-RU"/>
        </w:rPr>
        <w:t>длина (концевые меры длины, штангенциркули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080F23" w:rsidRPr="00807106" w:rsidRDefault="00080F23" w:rsidP="00080F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Область метрологии среди всех компонентов НИК является наиболее приверженной и связанной с международными системами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обеспечения единства измерений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80F23" w:rsidRPr="00807106" w:rsidRDefault="00080F23" w:rsidP="00080F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 xml:space="preserve">В рамках ЕАЭС проводится согласованная политика по обеспечению единства измерений в соответствии с Договором о ЕАЭС. </w:t>
      </w:r>
      <w:r>
        <w:rPr>
          <w:rFonts w:ascii="Times New Roman" w:hAnsi="Times New Roman"/>
          <w:sz w:val="28"/>
          <w:szCs w:val="28"/>
          <w:lang w:eastAsia="ru-RU"/>
        </w:rPr>
        <w:t>Основными положениями Договора о ЕАЭС в данной области являются:</w:t>
      </w:r>
    </w:p>
    <w:p w:rsidR="00080F23" w:rsidRPr="00807106" w:rsidRDefault="00080F23" w:rsidP="00080F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07106">
        <w:rPr>
          <w:rFonts w:ascii="Times New Roman" w:hAnsi="Times New Roman"/>
          <w:bCs/>
          <w:sz w:val="28"/>
          <w:szCs w:val="28"/>
          <w:lang w:eastAsia="ru-RU"/>
        </w:rPr>
        <w:t>- взаимное признание результатов работ в области обеспечения единства измерений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  <w:r w:rsidRPr="0080710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080F23" w:rsidRPr="00807106" w:rsidRDefault="00080F23" w:rsidP="00080F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07106">
        <w:rPr>
          <w:rFonts w:ascii="Times New Roman" w:hAnsi="Times New Roman"/>
          <w:bCs/>
          <w:sz w:val="28"/>
          <w:szCs w:val="28"/>
          <w:lang w:eastAsia="ru-RU"/>
        </w:rPr>
        <w:t>- проведение работ по созданию и совершенствованию эталонов единиц величин, определению и разработке номенклатуры стандартных образцов, установлению эквивалентности эталонов единиц величин государств-членов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ЕАЭС,</w:t>
      </w:r>
      <w:r w:rsidRPr="00807106">
        <w:rPr>
          <w:rFonts w:ascii="Times New Roman" w:hAnsi="Times New Roman"/>
          <w:bCs/>
          <w:sz w:val="28"/>
          <w:szCs w:val="28"/>
          <w:lang w:eastAsia="ru-RU"/>
        </w:rPr>
        <w:t xml:space="preserve"> путем их регулярного сличения в целях обеспечения метрологической прослеживаемости результатов измерений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  <w:r w:rsidRPr="0080710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080F23" w:rsidRPr="00807106" w:rsidRDefault="00080F23" w:rsidP="00080F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07106">
        <w:rPr>
          <w:rFonts w:ascii="Times New Roman" w:hAnsi="Times New Roman"/>
          <w:bCs/>
          <w:sz w:val="28"/>
          <w:szCs w:val="28"/>
          <w:lang w:eastAsia="ru-RU"/>
        </w:rPr>
        <w:t>- ведение национальных информационных фондов.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b/>
          <w:color w:val="000000"/>
          <w:sz w:val="28"/>
          <w:szCs w:val="28"/>
          <w:lang w:eastAsia="ru-RU"/>
        </w:rPr>
        <w:t>§ 7. Организационно-институциональное обеспечение НИК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Министерство экономики К</w:t>
      </w:r>
      <w:r>
        <w:rPr>
          <w:rFonts w:ascii="Times New Roman" w:hAnsi="Times New Roman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еспублики, на которое возложены функции </w:t>
      </w:r>
      <w:r w:rsidRPr="00807106">
        <w:rPr>
          <w:rFonts w:ascii="Times New Roman" w:hAnsi="Times New Roman"/>
          <w:sz w:val="28"/>
          <w:szCs w:val="28"/>
          <w:lang w:eastAsia="ru-RU"/>
        </w:rPr>
        <w:t>уполномоченн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по техническому регулированию и обеспечению единства измерений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, является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ответственным органом за формирование и развитие НИК. В ведении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инистерств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экономики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еспублики находятся: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Государственная инспекция по метрологическому надзору;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Центр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807106">
        <w:rPr>
          <w:rFonts w:ascii="Times New Roman" w:hAnsi="Times New Roman"/>
          <w:sz w:val="28"/>
          <w:szCs w:val="28"/>
          <w:lang w:eastAsia="ru-RU"/>
        </w:rPr>
        <w:t>стандартизации и метрологии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Министерства экономики Кыргызской Республики (далее – ЦСМ)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в качестве национального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органа </w:t>
      </w:r>
      <w:r w:rsidRPr="00807106">
        <w:rPr>
          <w:rFonts w:ascii="Times New Roman" w:hAnsi="Times New Roman"/>
          <w:sz w:val="28"/>
          <w:szCs w:val="28"/>
          <w:lang w:eastAsia="ru-RU"/>
        </w:rPr>
        <w:t>по стандартизации и метрологии;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КЦА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как национальный орган по аккредитации.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ии с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нормативны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правовы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ами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Кыргызской Республики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ряд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административных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функций, имеющих отношение к НИК, возложен на министерства и ведомства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астный сектор по оказанию услуг производственным предприятиям по сертификации, испытаниям, продаже и ремонту средств измерений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также является участником НИК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Членство Кыргызской Республики в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ЕАЭС влечет необходимость дальнейшей оптимизации государственного управления и организационно-институционального обеспечения НИК</w:t>
      </w:r>
      <w:r w:rsidRPr="007A46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в целом.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80F23" w:rsidRPr="00807106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5. Цели и задачи</w:t>
      </w:r>
    </w:p>
    <w:p w:rsidR="00080F23" w:rsidRPr="00807106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Основными целями настоящей Концепции являются: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способствование снижению технических и СФС барьеров для продвижения национальных товаров на единый рынок ЕАЭС и международные рынки;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обеспечение надлежащей безопасности объектов технического регулирования и защиты прав потребителей;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внедрение современных принципов, процедур, технологий, методик в области технического регулирования, обеспечения единства средств измерений, основанных на международных, региональных и межгосударственных стандартах;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обеспечение энергетической эффективности и ресурсосбережения;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оптимизация институционального обустройства НИК и ориентации всех элементов НИК для достижения вышеуказанных целей.</w:t>
      </w:r>
    </w:p>
    <w:p w:rsidR="00080F23" w:rsidRPr="00807106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Для достижения поставленных целей в рамках реализации настоящей Концепции предусматривается решение следующих основных задач:</w:t>
      </w:r>
    </w:p>
    <w:p w:rsidR="00080F23" w:rsidRPr="00807106" w:rsidRDefault="00080F23" w:rsidP="00080F23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 xml:space="preserve">- формирование единой системы технического регулирования, применения </w:t>
      </w:r>
      <w:r>
        <w:rPr>
          <w:rFonts w:ascii="Times New Roman" w:hAnsi="Times New Roman"/>
          <w:sz w:val="28"/>
          <w:szCs w:val="28"/>
        </w:rPr>
        <w:t>СФС</w:t>
      </w:r>
      <w:r w:rsidRPr="008071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мер</w:t>
      </w:r>
      <w:r w:rsidRPr="00807106">
        <w:rPr>
          <w:rFonts w:ascii="Times New Roman" w:hAnsi="Times New Roman"/>
          <w:sz w:val="28"/>
          <w:szCs w:val="28"/>
        </w:rPr>
        <w:t xml:space="preserve"> переход на единые обязательные требования к продукции, устанавливаемые в технических регламентах ЕАЭС;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>- гармонизация законодательства в сфере технического регулирования</w:t>
      </w:r>
      <w:r>
        <w:rPr>
          <w:rFonts w:ascii="Times New Roman" w:hAnsi="Times New Roman"/>
          <w:sz w:val="28"/>
          <w:szCs w:val="28"/>
        </w:rPr>
        <w:t xml:space="preserve"> и применения СФС мер в соответствии с</w:t>
      </w:r>
      <w:r w:rsidRPr="00807106">
        <w:rPr>
          <w:rFonts w:ascii="Times New Roman" w:hAnsi="Times New Roman"/>
          <w:sz w:val="28"/>
          <w:szCs w:val="28"/>
        </w:rPr>
        <w:t xml:space="preserve"> международными требованиями, в том числе </w:t>
      </w:r>
      <w:r>
        <w:rPr>
          <w:rFonts w:ascii="Times New Roman" w:hAnsi="Times New Roman"/>
          <w:sz w:val="28"/>
          <w:szCs w:val="28"/>
        </w:rPr>
        <w:t xml:space="preserve">с нормативными правовыми актами </w:t>
      </w:r>
      <w:r w:rsidRPr="00807106">
        <w:rPr>
          <w:rFonts w:ascii="Times New Roman" w:hAnsi="Times New Roman"/>
          <w:sz w:val="28"/>
          <w:szCs w:val="28"/>
        </w:rPr>
        <w:t>ЕАЭС;</w:t>
      </w:r>
    </w:p>
    <w:p w:rsidR="00080F23" w:rsidRPr="00807106" w:rsidRDefault="00080F23" w:rsidP="00080F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 xml:space="preserve">эффективное </w:t>
      </w:r>
      <w:r w:rsidRPr="00807106">
        <w:rPr>
          <w:rFonts w:ascii="Times New Roman" w:hAnsi="Times New Roman"/>
          <w:sz w:val="28"/>
          <w:szCs w:val="28"/>
        </w:rPr>
        <w:t xml:space="preserve">внедрение </w:t>
      </w:r>
      <w:r>
        <w:rPr>
          <w:rFonts w:ascii="Times New Roman" w:hAnsi="Times New Roman"/>
          <w:sz w:val="28"/>
          <w:szCs w:val="28"/>
        </w:rPr>
        <w:t xml:space="preserve">процедур </w:t>
      </w:r>
      <w:r w:rsidRPr="00807106">
        <w:rPr>
          <w:rFonts w:ascii="Times New Roman" w:hAnsi="Times New Roman"/>
          <w:sz w:val="28"/>
          <w:szCs w:val="28"/>
        </w:rPr>
        <w:t>оценки соответствия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106">
        <w:rPr>
          <w:rFonts w:ascii="Times New Roman" w:hAnsi="Times New Roman"/>
          <w:sz w:val="28"/>
          <w:szCs w:val="28"/>
        </w:rPr>
        <w:t>(аккредитация, подтверждение соответствия и т.д.)</w:t>
      </w:r>
      <w:r>
        <w:rPr>
          <w:rFonts w:ascii="Times New Roman" w:hAnsi="Times New Roman"/>
          <w:sz w:val="28"/>
          <w:szCs w:val="28"/>
        </w:rPr>
        <w:t xml:space="preserve"> на основе </w:t>
      </w:r>
      <w:r w:rsidRPr="00807106">
        <w:rPr>
          <w:rFonts w:ascii="Times New Roman" w:hAnsi="Times New Roman"/>
          <w:sz w:val="28"/>
          <w:szCs w:val="28"/>
        </w:rPr>
        <w:t>наилучшей международной практик</w:t>
      </w:r>
      <w:r>
        <w:rPr>
          <w:rFonts w:ascii="Times New Roman" w:hAnsi="Times New Roman"/>
          <w:sz w:val="28"/>
          <w:szCs w:val="28"/>
        </w:rPr>
        <w:t>и;</w:t>
      </w:r>
      <w:r w:rsidRPr="00807106">
        <w:rPr>
          <w:rFonts w:ascii="Times New Roman" w:hAnsi="Times New Roman"/>
          <w:sz w:val="28"/>
          <w:szCs w:val="28"/>
        </w:rPr>
        <w:t xml:space="preserve">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lastRenderedPageBreak/>
        <w:t>- модернизаци</w:t>
      </w:r>
      <w:r>
        <w:rPr>
          <w:rFonts w:ascii="Times New Roman" w:hAnsi="Times New Roman"/>
          <w:sz w:val="28"/>
          <w:szCs w:val="28"/>
        </w:rPr>
        <w:t>я</w:t>
      </w:r>
      <w:r w:rsidRPr="00807106">
        <w:rPr>
          <w:rFonts w:ascii="Times New Roman" w:hAnsi="Times New Roman"/>
          <w:sz w:val="28"/>
          <w:szCs w:val="28"/>
        </w:rPr>
        <w:t xml:space="preserve"> информационного фонда технических регламентов и стандартов;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>- повышение ответственности участников НИК</w:t>
      </w:r>
      <w:r>
        <w:rPr>
          <w:rFonts w:ascii="Times New Roman" w:hAnsi="Times New Roman"/>
          <w:sz w:val="28"/>
          <w:szCs w:val="28"/>
        </w:rPr>
        <w:t xml:space="preserve"> за безопасность и качество продукции,</w:t>
      </w:r>
      <w:r w:rsidRPr="00D7730D">
        <w:rPr>
          <w:rFonts w:ascii="Times New Roman" w:hAnsi="Times New Roman"/>
          <w:sz w:val="28"/>
          <w:szCs w:val="28"/>
        </w:rPr>
        <w:t xml:space="preserve"> </w:t>
      </w:r>
      <w:r w:rsidRPr="00807106">
        <w:rPr>
          <w:rFonts w:ascii="Times New Roman" w:hAnsi="Times New Roman"/>
          <w:sz w:val="28"/>
          <w:szCs w:val="28"/>
        </w:rPr>
        <w:t>поступающей в обращение на рынк</w:t>
      </w:r>
      <w:r>
        <w:rPr>
          <w:rFonts w:ascii="Times New Roman" w:hAnsi="Times New Roman"/>
          <w:sz w:val="28"/>
          <w:szCs w:val="28"/>
        </w:rPr>
        <w:t>е</w:t>
      </w:r>
      <w:r w:rsidRPr="00807106">
        <w:rPr>
          <w:rFonts w:ascii="Times New Roman" w:hAnsi="Times New Roman"/>
          <w:sz w:val="28"/>
          <w:szCs w:val="28"/>
        </w:rPr>
        <w:t>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>- применение международных и региональных стандартов для реализации требований технических регламентов ЕАЭС;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 xml:space="preserve">- установление единых форм, принципов и подходов оценки соответствия обязательным требованиям к продукции; </w:t>
      </w:r>
    </w:p>
    <w:p w:rsidR="00080F23" w:rsidRPr="0073455C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455C">
        <w:rPr>
          <w:rFonts w:ascii="Times New Roman" w:hAnsi="Times New Roman"/>
          <w:sz w:val="28"/>
          <w:szCs w:val="28"/>
        </w:rPr>
        <w:t>повышение конкурентоспособности отечественных предприятий посредством содействия внедрению систем менеджмента в соответствии с международными стандартами;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>- создание единой информационной системы</w:t>
      </w:r>
      <w:r>
        <w:rPr>
          <w:rFonts w:ascii="Times New Roman" w:hAnsi="Times New Roman"/>
          <w:sz w:val="28"/>
          <w:szCs w:val="28"/>
        </w:rPr>
        <w:t xml:space="preserve"> (базы данных)</w:t>
      </w:r>
      <w:r w:rsidRPr="00807106">
        <w:rPr>
          <w:rFonts w:ascii="Times New Roman" w:hAnsi="Times New Roman"/>
          <w:sz w:val="28"/>
          <w:szCs w:val="28"/>
        </w:rPr>
        <w:t xml:space="preserve"> о случаях причинения вреда жизни и здоровью </w:t>
      </w:r>
      <w:r w:rsidRPr="00807106">
        <w:rPr>
          <w:rFonts w:ascii="Times New Roman" w:hAnsi="Times New Roman"/>
          <w:iCs/>
          <w:sz w:val="28"/>
          <w:szCs w:val="28"/>
        </w:rPr>
        <w:t>человека, имуществ</w:t>
      </w:r>
      <w:r>
        <w:rPr>
          <w:rFonts w:ascii="Times New Roman" w:hAnsi="Times New Roman"/>
          <w:iCs/>
          <w:sz w:val="28"/>
          <w:szCs w:val="28"/>
        </w:rPr>
        <w:t>у</w:t>
      </w:r>
      <w:r w:rsidRPr="00807106">
        <w:rPr>
          <w:rFonts w:ascii="Times New Roman" w:hAnsi="Times New Roman"/>
          <w:iCs/>
          <w:sz w:val="28"/>
          <w:szCs w:val="28"/>
        </w:rPr>
        <w:t>, окружающей сред</w:t>
      </w:r>
      <w:r>
        <w:rPr>
          <w:rFonts w:ascii="Times New Roman" w:hAnsi="Times New Roman"/>
          <w:iCs/>
          <w:sz w:val="28"/>
          <w:szCs w:val="28"/>
        </w:rPr>
        <w:t>е</w:t>
      </w:r>
      <w:r w:rsidRPr="00807106">
        <w:rPr>
          <w:rFonts w:ascii="Times New Roman" w:hAnsi="Times New Roman"/>
          <w:iCs/>
          <w:sz w:val="28"/>
          <w:szCs w:val="28"/>
        </w:rPr>
        <w:t>, жизни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07106">
        <w:rPr>
          <w:rFonts w:ascii="Times New Roman" w:hAnsi="Times New Roman"/>
          <w:iCs/>
          <w:sz w:val="28"/>
          <w:szCs w:val="28"/>
        </w:rPr>
        <w:t xml:space="preserve">(или) здоровья животных и растений, а также </w:t>
      </w:r>
      <w:r w:rsidRPr="00807106">
        <w:rPr>
          <w:rFonts w:ascii="Times New Roman" w:hAnsi="Times New Roman"/>
          <w:sz w:val="28"/>
          <w:szCs w:val="28"/>
        </w:rPr>
        <w:t>об опасной продукции.</w:t>
      </w:r>
    </w:p>
    <w:p w:rsidR="00080F23" w:rsidRPr="00807106" w:rsidRDefault="00080F23" w:rsidP="00080F23">
      <w:pPr>
        <w:pStyle w:val="tkZagolovok3"/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80F23" w:rsidRPr="00807106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6. Основные направления реализации задач</w:t>
      </w:r>
    </w:p>
    <w:p w:rsidR="00080F23" w:rsidRPr="00807106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080F23" w:rsidRPr="00607511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511">
        <w:rPr>
          <w:rFonts w:ascii="Times New Roman" w:hAnsi="Times New Roman"/>
          <w:color w:val="000000"/>
          <w:sz w:val="28"/>
          <w:szCs w:val="28"/>
          <w:lang w:eastAsia="ru-RU"/>
        </w:rPr>
        <w:t>В сфере обязательных требований к объектам технического регулирования: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рименени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соблюдени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территории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ыргызской Республики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обязательных требований технических регламентов ЕАЭС, Единых ветеринарных требований, Единых фитосанитарных требований ЕАЭС путем принятия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плана мероприятий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по каждому техническому регламенту ЕАЭС и Единым требованиям</w:t>
      </w:r>
      <w:r w:rsidRPr="007A46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СФС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План мероприятий должен предусматривать о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рганизационное и финансовое обеспечение 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реализации, включая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проведени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системных практических консультаций и семинаров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осуществления контроля (надзора)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соблюдением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отдельных требований технических регламентов ЕАЭС (льготн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кредитование и налогообложение деятельности по созданию миницехов по убою продуктивных животных;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внедрению и поддержанию системы ХАССП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и др.).</w:t>
      </w:r>
    </w:p>
    <w:p w:rsidR="00080F23" w:rsidRPr="00607511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511">
        <w:rPr>
          <w:rFonts w:ascii="Times New Roman" w:hAnsi="Times New Roman"/>
          <w:color w:val="000000"/>
          <w:sz w:val="28"/>
          <w:szCs w:val="28"/>
          <w:lang w:eastAsia="ru-RU"/>
        </w:rPr>
        <w:t>В сфере добровольных требований: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оптимизация интегрированной информационной системы в области стандартизации путем внедрения прогрессивных информационных технологий;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разработка 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продвижение национальных стандартов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перспективные экспортоориентированные виды кыргызской продукции в целях 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принятия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качестве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межгосударственны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стандарт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разработка и внедрение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отраслевых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сводов правил (энергетика, горная отрасль);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содействие осуществлению деятельности в области энергетической эффективности и ресурсосбережения за счет принятия и применения международных и региональных стандартов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ky-KG" w:eastAsia="ru-RU"/>
        </w:rPr>
        <w:t xml:space="preserve">- </w:t>
      </w:r>
      <w:r w:rsidRPr="002E735C">
        <w:rPr>
          <w:rFonts w:ascii="Times New Roman" w:hAnsi="Times New Roman"/>
          <w:bCs/>
          <w:color w:val="000000"/>
          <w:sz w:val="28"/>
          <w:szCs w:val="28"/>
          <w:lang w:val="ky-KG" w:eastAsia="ru-RU"/>
        </w:rPr>
        <w:t>продвижение механизмов стандартизации технологии производства продукции (товаров) на основе наилучших доступных технологий, определяемых на базе современных достижений науки и техники и наилучшего сочетания критериев достижений целей окружающей среды</w:t>
      </w:r>
      <w:r>
        <w:rPr>
          <w:rFonts w:ascii="Times New Roman" w:hAnsi="Times New Roman"/>
          <w:bCs/>
          <w:color w:val="000000"/>
          <w:sz w:val="28"/>
          <w:szCs w:val="28"/>
          <w:lang w:val="ky-KG" w:eastAsia="ru-RU"/>
        </w:rPr>
        <w:t>.</w:t>
      </w:r>
    </w:p>
    <w:p w:rsidR="00080F23" w:rsidRPr="00607511" w:rsidRDefault="00080F23" w:rsidP="00080F23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511">
        <w:rPr>
          <w:rFonts w:ascii="Times New Roman" w:hAnsi="Times New Roman"/>
          <w:color w:val="000000"/>
          <w:sz w:val="28"/>
          <w:szCs w:val="28"/>
          <w:lang w:eastAsia="ru-RU"/>
        </w:rPr>
        <w:t>В сфере подтверждения соответствия: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расширение области аккредитации органов по сертификации и включени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их в Единый реестр органов по оценке соответствия в разрезе приоритетных отраслей (легкая промышленность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строительные материалы) и регионов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оказание системных практических консультаций субъектам предпринимательства по принятию декларации о соответствии техническим регламентам ЕАЭС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стимулирование субъектов предпринимательства к сертификации систем менеджмента качества по международным стандартам.</w:t>
      </w:r>
    </w:p>
    <w:p w:rsidR="00080F23" w:rsidRPr="00607511" w:rsidRDefault="00080F23" w:rsidP="00080F23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511">
        <w:rPr>
          <w:rFonts w:ascii="Times New Roman" w:hAnsi="Times New Roman"/>
          <w:color w:val="000000"/>
          <w:sz w:val="28"/>
          <w:szCs w:val="28"/>
          <w:lang w:eastAsia="ru-RU"/>
        </w:rPr>
        <w:t>В сфере производственного контроля: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стимулирование создания частных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органов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на основе международного стандарта ИСО/МЭК 17020;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стимулирование развития системы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оказанию услуг предприятиям по внедрению и поддержке систем безопасности пищевых продуктов на основе принципов ХАССП.</w:t>
      </w:r>
    </w:p>
    <w:p w:rsidR="00080F23" w:rsidRPr="00607511" w:rsidRDefault="00080F23" w:rsidP="00080F23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511">
        <w:rPr>
          <w:rFonts w:ascii="Times New Roman" w:hAnsi="Times New Roman"/>
          <w:color w:val="000000"/>
          <w:sz w:val="28"/>
          <w:szCs w:val="28"/>
          <w:lang w:eastAsia="ru-RU"/>
        </w:rPr>
        <w:t>В сфере государственной регистрации: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принятие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соответствующих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процедур по государственной регистрации продукции и производственных объектов в соответствии с техническими регламентами ЕАЭС; </w:t>
      </w:r>
    </w:p>
    <w:p w:rsidR="00080F23" w:rsidRPr="00807106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гармонизация системы государственной регистрации пестицидов и агрохимикатов в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еспублике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международными правилами и актами ЕАЭС.</w:t>
      </w:r>
    </w:p>
    <w:p w:rsidR="00080F23" w:rsidRPr="00607511" w:rsidRDefault="00080F23" w:rsidP="0008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511">
        <w:rPr>
          <w:rFonts w:ascii="Times New Roman" w:hAnsi="Times New Roman"/>
          <w:color w:val="000000"/>
          <w:sz w:val="28"/>
          <w:szCs w:val="28"/>
          <w:lang w:eastAsia="ru-RU"/>
        </w:rPr>
        <w:t>В сфере санитарных, ветеринарно-санитарных и фитосанитарных мер:</w:t>
      </w:r>
    </w:p>
    <w:p w:rsidR="00080F23" w:rsidRPr="00C56B0F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приведение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системы по ветеринарной и фитосанитарной сертификации в соответстви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с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документами Международного эпизоотического бюро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(МЭБ</w:t>
      </w:r>
      <w:r w:rsidRPr="00C56B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 </w:t>
      </w:r>
      <w:r w:rsidRPr="00C56B0F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Международной конвенции по карантину и защите растений от 6 декабря 1951 года</w:t>
      </w:r>
      <w:r w:rsidRPr="00C56B0F">
        <w:rPr>
          <w:rFonts w:ascii="Times New Roman" w:hAnsi="Times New Roman"/>
          <w:color w:val="000000"/>
          <w:sz w:val="28"/>
          <w:szCs w:val="28"/>
          <w:lang w:eastAsia="ru-RU"/>
        </w:rPr>
        <w:t>, а также актов ЕАЭС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нормативное и организационно-техническое обеспечение проведения ветеринарно-санитарной экспертизы.</w:t>
      </w:r>
    </w:p>
    <w:p w:rsidR="00080F23" w:rsidRPr="00607511" w:rsidRDefault="00080F23" w:rsidP="00080F23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7511">
        <w:rPr>
          <w:rFonts w:ascii="Times New Roman" w:hAnsi="Times New Roman"/>
          <w:color w:val="000000"/>
          <w:sz w:val="28"/>
          <w:szCs w:val="28"/>
          <w:lang w:eastAsia="ru-RU"/>
        </w:rPr>
        <w:t>В сфере испытаний (исследований):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модернизаци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лабораторной инфраструктуры для обеспечения достижения необходимой технической компетентности в приоритетных отраслях экономики (сельское хозяйство, включая область ветеринарии и карантина растений, государственн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регистраци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пестицидов 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лекарственных средств, легкая промышленность, строительные материалы);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создание референс-лабораторий;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применение методик испытаний (исследований) продукции по международным стандартам;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введение запрета на оказание услуг на коммерческой основе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лабораториям, находящихся в ведении государственных проверяющих органов;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стимулирование развития частных лабораторий.</w:t>
      </w:r>
    </w:p>
    <w:p w:rsidR="00080F23" w:rsidRPr="00C56B0F" w:rsidRDefault="00080F23" w:rsidP="00080F23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56B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сфере аккредитации:  </w:t>
      </w:r>
    </w:p>
    <w:p w:rsidR="00080F23" w:rsidRPr="00807106" w:rsidRDefault="00080F23" w:rsidP="00080F23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807106">
        <w:rPr>
          <w:rFonts w:ascii="Times New Roman" w:hAnsi="Times New Roman"/>
          <w:sz w:val="28"/>
          <w:szCs w:val="28"/>
        </w:rPr>
        <w:t xml:space="preserve">- поддержание </w:t>
      </w:r>
      <w:r>
        <w:rPr>
          <w:rFonts w:ascii="Times New Roman" w:hAnsi="Times New Roman"/>
          <w:sz w:val="28"/>
          <w:szCs w:val="28"/>
        </w:rPr>
        <w:t xml:space="preserve">достигнутого уровня </w:t>
      </w:r>
      <w:r w:rsidRPr="00807106">
        <w:rPr>
          <w:rFonts w:ascii="Times New Roman" w:hAnsi="Times New Roman"/>
          <w:sz w:val="28"/>
          <w:szCs w:val="28"/>
        </w:rPr>
        <w:t>компетентности</w:t>
      </w:r>
      <w:r>
        <w:rPr>
          <w:rFonts w:ascii="Times New Roman" w:hAnsi="Times New Roman"/>
          <w:sz w:val="28"/>
          <w:szCs w:val="28"/>
        </w:rPr>
        <w:t xml:space="preserve"> персонала</w:t>
      </w:r>
      <w:r w:rsidRPr="00807106">
        <w:rPr>
          <w:rFonts w:ascii="Times New Roman" w:hAnsi="Times New Roman"/>
          <w:sz w:val="28"/>
          <w:szCs w:val="28"/>
        </w:rPr>
        <w:t xml:space="preserve"> национального органа по аккредитации</w:t>
      </w:r>
      <w:r>
        <w:rPr>
          <w:rFonts w:ascii="Times New Roman" w:hAnsi="Times New Roman"/>
          <w:sz w:val="28"/>
          <w:szCs w:val="28"/>
        </w:rPr>
        <w:t xml:space="preserve"> в соответствии с</w:t>
      </w:r>
      <w:r w:rsidRPr="00807106">
        <w:rPr>
          <w:rFonts w:ascii="Times New Roman" w:hAnsi="Times New Roman"/>
          <w:sz w:val="28"/>
          <w:szCs w:val="28"/>
        </w:rPr>
        <w:t xml:space="preserve"> требованиям</w:t>
      </w:r>
      <w:r>
        <w:rPr>
          <w:rFonts w:ascii="Times New Roman" w:hAnsi="Times New Roman"/>
          <w:sz w:val="28"/>
          <w:szCs w:val="28"/>
        </w:rPr>
        <w:t>и</w:t>
      </w:r>
      <w:r w:rsidRPr="008071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07106">
        <w:rPr>
          <w:rFonts w:ascii="Times New Roman" w:hAnsi="Times New Roman"/>
          <w:sz w:val="28"/>
          <w:szCs w:val="28"/>
        </w:rPr>
        <w:t xml:space="preserve">еждународного стандарта ИСО/МЭК 17011 «Оценка соответствия. Общие требования к органам по аккредитации, аккредитующим органы по оценке соответствия» и </w:t>
      </w:r>
      <w:r>
        <w:rPr>
          <w:rFonts w:ascii="Times New Roman" w:hAnsi="Times New Roman"/>
          <w:sz w:val="28"/>
          <w:szCs w:val="28"/>
        </w:rPr>
        <w:t xml:space="preserve">документам международных организаций по аккредитации, </w:t>
      </w:r>
      <w:r w:rsidRPr="00807106">
        <w:rPr>
          <w:rFonts w:ascii="Times New Roman" w:hAnsi="Times New Roman"/>
          <w:sz w:val="28"/>
          <w:szCs w:val="28"/>
        </w:rPr>
        <w:t>совершенствовани</w:t>
      </w:r>
      <w:r>
        <w:rPr>
          <w:rFonts w:ascii="Times New Roman" w:hAnsi="Times New Roman"/>
          <w:sz w:val="28"/>
          <w:szCs w:val="28"/>
        </w:rPr>
        <w:t>ю</w:t>
      </w:r>
      <w:r w:rsidRPr="00807106">
        <w:rPr>
          <w:rFonts w:ascii="Times New Roman" w:hAnsi="Times New Roman"/>
          <w:sz w:val="28"/>
          <w:szCs w:val="28"/>
        </w:rPr>
        <w:t xml:space="preserve"> системы менеджмента КЦА;</w:t>
      </w:r>
    </w:p>
    <w:p w:rsidR="00080F23" w:rsidRPr="00807106" w:rsidRDefault="00080F23" w:rsidP="00080F23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32822">
        <w:rPr>
          <w:rFonts w:ascii="Times New Roman" w:hAnsi="Times New Roman"/>
          <w:sz w:val="28"/>
          <w:szCs w:val="28"/>
        </w:rPr>
        <w:t>- расширение признания Международного сотрудничества по аккредитации лабораторий (</w:t>
      </w:r>
      <w:r w:rsidRPr="00332822">
        <w:rPr>
          <w:rFonts w:ascii="Times New Roman" w:hAnsi="Times New Roman"/>
          <w:sz w:val="28"/>
          <w:szCs w:val="28"/>
          <w:lang w:val="en-US"/>
        </w:rPr>
        <w:t>ILAC</w:t>
      </w:r>
      <w:r w:rsidRPr="00332822">
        <w:rPr>
          <w:rFonts w:ascii="Times New Roman" w:hAnsi="Times New Roman"/>
          <w:sz w:val="28"/>
          <w:szCs w:val="28"/>
        </w:rPr>
        <w:t>) по аккредитации медицинских и калибровочных лабораторий, органов контроля, получение статуса полноправного члена КЦА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32822">
        <w:rPr>
          <w:rFonts w:ascii="Times New Roman" w:hAnsi="Times New Roman"/>
          <w:sz w:val="28"/>
          <w:szCs w:val="28"/>
        </w:rPr>
        <w:t xml:space="preserve"> Международно</w:t>
      </w:r>
      <w:r>
        <w:rPr>
          <w:rFonts w:ascii="Times New Roman" w:hAnsi="Times New Roman"/>
          <w:sz w:val="28"/>
          <w:szCs w:val="28"/>
        </w:rPr>
        <w:t>м</w:t>
      </w:r>
      <w:r w:rsidRPr="00332822">
        <w:rPr>
          <w:rFonts w:ascii="Times New Roman" w:hAnsi="Times New Roman"/>
          <w:sz w:val="28"/>
          <w:szCs w:val="28"/>
        </w:rPr>
        <w:t xml:space="preserve"> форум</w:t>
      </w:r>
      <w:r>
        <w:rPr>
          <w:rFonts w:ascii="Times New Roman" w:hAnsi="Times New Roman"/>
          <w:sz w:val="28"/>
          <w:szCs w:val="28"/>
        </w:rPr>
        <w:t>е</w:t>
      </w:r>
      <w:r w:rsidRPr="00332822">
        <w:rPr>
          <w:rFonts w:ascii="Times New Roman" w:hAnsi="Times New Roman"/>
          <w:sz w:val="28"/>
          <w:szCs w:val="28"/>
        </w:rPr>
        <w:t xml:space="preserve"> по аккредитации (</w:t>
      </w:r>
      <w:r w:rsidRPr="00332822">
        <w:rPr>
          <w:rFonts w:ascii="Times New Roman" w:hAnsi="Times New Roman"/>
          <w:sz w:val="28"/>
          <w:szCs w:val="28"/>
          <w:lang w:val="en-US"/>
        </w:rPr>
        <w:t>IAF</w:t>
      </w:r>
      <w:r w:rsidRPr="00332822">
        <w:rPr>
          <w:rFonts w:ascii="Times New Roman" w:hAnsi="Times New Roman"/>
          <w:sz w:val="28"/>
          <w:szCs w:val="28"/>
        </w:rPr>
        <w:t>) и присоединение к Соглашению о взаимном признании;</w:t>
      </w:r>
    </w:p>
    <w:p w:rsidR="00080F23" w:rsidRPr="00807106" w:rsidRDefault="00080F23" w:rsidP="00080F23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- совершенствование инфраструктуры КЦА, включая программное обеспечение для повышения его технического уровня и эффективности;</w:t>
      </w:r>
    </w:p>
    <w:p w:rsidR="00080F23" w:rsidRPr="00807106" w:rsidRDefault="00080F23" w:rsidP="00080F23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освоение новых направлений в области аккредитации с учетом потребностей экономики </w:t>
      </w:r>
      <w:r w:rsidRPr="00807106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еспублики</w:t>
      </w:r>
      <w:r w:rsidRPr="00807106">
        <w:rPr>
          <w:rFonts w:ascii="Times New Roman" w:hAnsi="Times New Roman"/>
          <w:sz w:val="28"/>
          <w:szCs w:val="28"/>
          <w:lang w:eastAsia="ru-RU"/>
        </w:rPr>
        <w:t>.</w:t>
      </w:r>
    </w:p>
    <w:p w:rsidR="00080F23" w:rsidRPr="00A65CC5" w:rsidRDefault="00080F23" w:rsidP="00080F23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5C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сфере государственного контроля (надзора): 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реформирование системы государственных проверок на основе оценки и управления факторами, влияющими на безопасность продукции и иных объектов технического регулирования;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проведение реформы системы государственного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контроля (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надзора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учетом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еждународного договора в рамках ЕАЭС о принципах и подходах к гармонизации законодательства государств-членов ЕАЭС в сфере государственного контроля (надзора) за соблюдением требований технических регламентов ЕАЭС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развитие системы рыночного надзора.</w:t>
      </w:r>
    </w:p>
    <w:p w:rsidR="00080F23" w:rsidRPr="00A65CC5" w:rsidRDefault="00080F23" w:rsidP="00080F23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5CC5">
        <w:rPr>
          <w:rFonts w:ascii="Times New Roman" w:hAnsi="Times New Roman"/>
          <w:color w:val="000000"/>
          <w:sz w:val="28"/>
          <w:szCs w:val="28"/>
          <w:lang w:eastAsia="ru-RU"/>
        </w:rPr>
        <w:t>В сфере метрологии: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 xml:space="preserve">- создание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807106">
        <w:rPr>
          <w:rFonts w:ascii="Times New Roman" w:hAnsi="Times New Roman"/>
          <w:sz w:val="28"/>
          <w:szCs w:val="28"/>
          <w:lang w:eastAsia="ru-RU"/>
        </w:rPr>
        <w:t>ациональной эталонной базы измерений Кыргызской Республики, вторичных и рабочих эталонов единиц величин в соответствии с потребностями экономики страны;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- обеспечение прослеживаемости и метрологической эквивалентности национальных и исходных эталонов Кыргызской Республики международным эталонам измерений;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- достижение международного признания измерений, проводимых в К</w:t>
      </w:r>
      <w:r>
        <w:rPr>
          <w:rFonts w:ascii="Times New Roman" w:hAnsi="Times New Roman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еспублике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, путем аккредитации эталонных лабораторий и </w:t>
      </w:r>
      <w:r w:rsidRPr="00807106">
        <w:rPr>
          <w:rFonts w:ascii="Times New Roman" w:hAnsi="Times New Roman"/>
          <w:sz w:val="28"/>
          <w:szCs w:val="28"/>
          <w:lang w:eastAsia="ru-RU"/>
        </w:rPr>
        <w:lastRenderedPageBreak/>
        <w:t>присоединени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к Метрической конвенции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от 1875 года</w:t>
      </w:r>
      <w:r w:rsidRPr="00807106">
        <w:rPr>
          <w:rFonts w:ascii="Times New Roman" w:hAnsi="Times New Roman"/>
          <w:sz w:val="28"/>
          <w:szCs w:val="28"/>
          <w:lang w:eastAsia="ru-RU"/>
        </w:rPr>
        <w:t>, в соответствии с внутренними потребностями страны;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- развитие, внедрение и стимулирование системы калибровки средств измерений в стране;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3EB3">
        <w:rPr>
          <w:rFonts w:ascii="Times New Roman" w:hAnsi="Times New Roman"/>
          <w:sz w:val="28"/>
          <w:szCs w:val="28"/>
          <w:lang w:eastAsia="ru-RU"/>
        </w:rPr>
        <w:t xml:space="preserve">- проведение работ </w:t>
      </w:r>
      <w:r>
        <w:rPr>
          <w:rFonts w:ascii="Times New Roman" w:hAnsi="Times New Roman"/>
          <w:sz w:val="28"/>
          <w:szCs w:val="28"/>
          <w:lang w:eastAsia="ru-RU"/>
        </w:rPr>
        <w:t>по</w:t>
      </w:r>
      <w:r w:rsidRPr="00AD3EB3">
        <w:rPr>
          <w:rFonts w:ascii="Times New Roman" w:hAnsi="Times New Roman"/>
          <w:sz w:val="28"/>
          <w:szCs w:val="28"/>
          <w:lang w:eastAsia="ru-RU"/>
        </w:rPr>
        <w:t xml:space="preserve"> освоени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AD3EB3">
        <w:rPr>
          <w:rFonts w:ascii="Times New Roman" w:hAnsi="Times New Roman"/>
          <w:sz w:val="28"/>
          <w:szCs w:val="28"/>
          <w:lang w:eastAsia="ru-RU"/>
        </w:rPr>
        <w:t xml:space="preserve"> новых и восстановлени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AD3EB3">
        <w:rPr>
          <w:rFonts w:ascii="Times New Roman" w:hAnsi="Times New Roman"/>
          <w:sz w:val="28"/>
          <w:szCs w:val="28"/>
          <w:lang w:eastAsia="ru-RU"/>
        </w:rPr>
        <w:t xml:space="preserve"> утраченных видов измерений, повышени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AD3EB3">
        <w:rPr>
          <w:rFonts w:ascii="Times New Roman" w:hAnsi="Times New Roman"/>
          <w:sz w:val="28"/>
          <w:szCs w:val="28"/>
          <w:lang w:eastAsia="ru-RU"/>
        </w:rPr>
        <w:t xml:space="preserve"> их точности и достоверности;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  <w:lang w:eastAsia="ru-RU"/>
        </w:rPr>
        <w:t>- гармонизация нормативно</w:t>
      </w:r>
      <w:r>
        <w:rPr>
          <w:rFonts w:ascii="Times New Roman" w:hAnsi="Times New Roman"/>
          <w:sz w:val="28"/>
          <w:szCs w:val="28"/>
          <w:lang w:eastAsia="ru-RU"/>
        </w:rPr>
        <w:t xml:space="preserve">й 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правовой базы </w:t>
      </w:r>
      <w:r>
        <w:rPr>
          <w:rFonts w:ascii="Times New Roman" w:hAnsi="Times New Roman"/>
          <w:sz w:val="28"/>
          <w:szCs w:val="28"/>
          <w:lang w:eastAsia="ru-RU"/>
        </w:rPr>
        <w:t xml:space="preserve">Кыргызской Республики 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в области метрологии с рекомендациями </w:t>
      </w:r>
      <w:r>
        <w:rPr>
          <w:rFonts w:ascii="Times New Roman" w:hAnsi="Times New Roman"/>
          <w:sz w:val="28"/>
          <w:szCs w:val="28"/>
          <w:lang w:eastAsia="ru-RU"/>
        </w:rPr>
        <w:t>МОЗМ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и Договора о ЕАЭС.</w:t>
      </w:r>
    </w:p>
    <w:p w:rsidR="00080F23" w:rsidRPr="00A65CC5" w:rsidRDefault="00080F23" w:rsidP="00080F23">
      <w:pPr>
        <w:spacing w:after="0" w:line="240" w:lineRule="auto"/>
        <w:ind w:firstLine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65C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сфере организационно-институциональной поддержки НИК: </w:t>
      </w:r>
    </w:p>
    <w:p w:rsidR="00080F23" w:rsidRPr="00C22521" w:rsidRDefault="00080F23" w:rsidP="00080F23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2521">
        <w:rPr>
          <w:rFonts w:ascii="Times New Roman" w:hAnsi="Times New Roman"/>
          <w:color w:val="000000"/>
          <w:sz w:val="28"/>
          <w:szCs w:val="28"/>
          <w:lang w:eastAsia="ru-RU"/>
        </w:rPr>
        <w:t>- образование Совета по развитию НИК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C22521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еспублики;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включение в классификацию расходов бюджета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специального направления и статей по развитию НИК;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образование координационного национального органа по безопасности пищевых продуктов на основании рекомендаций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семирной организации здравоохранения (ВОЗ), Продовольственной и сельскохозяйственной организации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ОНН (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ФАО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опыта зарубежных стран.      </w:t>
      </w:r>
    </w:p>
    <w:p w:rsidR="00080F23" w:rsidRPr="00882520" w:rsidRDefault="00080F23" w:rsidP="00080F23">
      <w:pPr>
        <w:pStyle w:val="tkZagolovok3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2"/>
          <w:szCs w:val="28"/>
        </w:rPr>
      </w:pPr>
    </w:p>
    <w:p w:rsidR="00080F23" w:rsidRPr="00807106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7. Государственная координация</w:t>
      </w:r>
    </w:p>
    <w:p w:rsidR="00080F23" w:rsidRPr="00882520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2"/>
          <w:szCs w:val="28"/>
        </w:rPr>
      </w:pPr>
    </w:p>
    <w:p w:rsidR="00080F23" w:rsidRPr="00807106" w:rsidRDefault="00080F23" w:rsidP="00080F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</w:rPr>
        <w:t xml:space="preserve">Эффективное развитие НИК требует совместных скоординированных действий </w:t>
      </w:r>
      <w:r>
        <w:rPr>
          <w:rFonts w:ascii="Times New Roman" w:hAnsi="Times New Roman"/>
          <w:sz w:val="28"/>
          <w:szCs w:val="28"/>
        </w:rPr>
        <w:t xml:space="preserve">Министерства экономики Кыргызской Республики, других </w:t>
      </w:r>
      <w:r w:rsidRPr="00807106">
        <w:rPr>
          <w:rFonts w:ascii="Times New Roman" w:hAnsi="Times New Roman"/>
          <w:sz w:val="28"/>
          <w:szCs w:val="28"/>
        </w:rPr>
        <w:t xml:space="preserve"> государственных органов исполнительной власти, национального органа по стандартизации и метрологии, </w:t>
      </w:r>
      <w:r w:rsidRPr="00807106">
        <w:rPr>
          <w:rFonts w:ascii="Times New Roman" w:hAnsi="Times New Roman"/>
          <w:sz w:val="28"/>
          <w:szCs w:val="28"/>
          <w:lang w:eastAsia="ru-RU"/>
        </w:rPr>
        <w:t>производителей и поставщиков продукции и услуг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 организаций, осуществляющих деятельность в области стандартизации, сертификации, аккредитации, испытаний/исследований  продукции, поверки и калибровки средств измерений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07106">
        <w:rPr>
          <w:rFonts w:ascii="Times New Roman" w:hAnsi="Times New Roman"/>
          <w:sz w:val="28"/>
          <w:szCs w:val="28"/>
          <w:lang w:eastAsia="ru-RU"/>
        </w:rPr>
        <w:t xml:space="preserve">потребителей.  </w:t>
      </w:r>
    </w:p>
    <w:p w:rsidR="00080F23" w:rsidRPr="00807106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Для реализации настоящей Концепции будут привлекаться партнеры из международных организаций, ассоциаций-производителей, производителей сельскохозяйственных продукции, организации по защите прав потребителей, бизнес-сообществ и доноров.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F23" w:rsidRPr="00807106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 xml:space="preserve">Государственная поддержка в развитии НИК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Pr="00807106">
        <w:rPr>
          <w:rFonts w:ascii="Times New Roman" w:hAnsi="Times New Roman" w:cs="Times New Roman"/>
          <w:sz w:val="28"/>
          <w:szCs w:val="28"/>
        </w:rPr>
        <w:t xml:space="preserve"> оказана в следующих формах:</w:t>
      </w:r>
    </w:p>
    <w:p w:rsidR="00080F23" w:rsidRPr="00807106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а) организационной;</w:t>
      </w:r>
    </w:p>
    <w:p w:rsidR="00080F23" w:rsidRPr="00807106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б) информационной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0F23" w:rsidRPr="00807106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 xml:space="preserve">Организационная поддержка со стороны государства </w:t>
      </w:r>
      <w:r>
        <w:rPr>
          <w:rFonts w:ascii="Times New Roman" w:hAnsi="Times New Roman" w:cs="Times New Roman"/>
          <w:sz w:val="28"/>
          <w:szCs w:val="28"/>
        </w:rPr>
        <w:t>будет включать</w:t>
      </w:r>
      <w:r w:rsidRPr="00807106">
        <w:rPr>
          <w:rFonts w:ascii="Times New Roman" w:hAnsi="Times New Roman" w:cs="Times New Roman"/>
          <w:sz w:val="28"/>
          <w:szCs w:val="28"/>
        </w:rPr>
        <w:t>: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sz w:val="28"/>
          <w:szCs w:val="28"/>
        </w:rPr>
        <w:t>- создани</w:t>
      </w:r>
      <w:r>
        <w:rPr>
          <w:rFonts w:ascii="Times New Roman" w:hAnsi="Times New Roman"/>
          <w:sz w:val="28"/>
          <w:szCs w:val="28"/>
        </w:rPr>
        <w:t>е</w:t>
      </w:r>
      <w:r w:rsidRPr="00807106">
        <w:rPr>
          <w:rFonts w:ascii="Times New Roman" w:hAnsi="Times New Roman"/>
          <w:sz w:val="28"/>
          <w:szCs w:val="28"/>
        </w:rPr>
        <w:t xml:space="preserve"> условий для развития НИК</w:t>
      </w:r>
      <w:r>
        <w:rPr>
          <w:rFonts w:ascii="Times New Roman" w:hAnsi="Times New Roman"/>
          <w:sz w:val="28"/>
          <w:szCs w:val="28"/>
        </w:rPr>
        <w:t xml:space="preserve">, путем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внедрени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современных принципов, процедур, технологий, методик в области технического регулирования, обеспечения единства средств измерений, обеспечени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энергетической эффективности и ресурсосбережения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оптимизаци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институционального обустройства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-  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7106">
        <w:rPr>
          <w:rFonts w:ascii="Times New Roman" w:hAnsi="Times New Roman" w:cs="Times New Roman"/>
          <w:sz w:val="28"/>
          <w:szCs w:val="28"/>
        </w:rPr>
        <w:t xml:space="preserve"> необходимых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0F23" w:rsidRPr="00807106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07106">
        <w:rPr>
          <w:rFonts w:ascii="Times New Roman" w:hAnsi="Times New Roman" w:cs="Times New Roman"/>
          <w:sz w:val="28"/>
          <w:szCs w:val="28"/>
        </w:rPr>
        <w:t>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07106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а будет основываться на</w:t>
      </w:r>
      <w:r w:rsidRPr="00807106">
        <w:rPr>
          <w:rFonts w:ascii="Times New Roman" w:hAnsi="Times New Roman" w:cs="Times New Roman"/>
          <w:sz w:val="28"/>
          <w:szCs w:val="28"/>
        </w:rPr>
        <w:t>:</w:t>
      </w:r>
    </w:p>
    <w:p w:rsidR="00080F23" w:rsidRPr="00673552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552">
        <w:rPr>
          <w:rFonts w:ascii="Times New Roman" w:hAnsi="Times New Roman"/>
          <w:sz w:val="28"/>
          <w:szCs w:val="28"/>
        </w:rPr>
        <w:t>- информационны</w:t>
      </w:r>
      <w:r>
        <w:rPr>
          <w:rFonts w:ascii="Times New Roman" w:hAnsi="Times New Roman"/>
          <w:sz w:val="28"/>
          <w:szCs w:val="28"/>
        </w:rPr>
        <w:t>х</w:t>
      </w:r>
      <w:r w:rsidRPr="00673552">
        <w:rPr>
          <w:rFonts w:ascii="Times New Roman" w:hAnsi="Times New Roman"/>
          <w:sz w:val="28"/>
          <w:szCs w:val="28"/>
        </w:rPr>
        <w:t xml:space="preserve"> ресурс</w:t>
      </w:r>
      <w:r>
        <w:rPr>
          <w:rFonts w:ascii="Times New Roman" w:hAnsi="Times New Roman"/>
          <w:sz w:val="28"/>
          <w:szCs w:val="28"/>
        </w:rPr>
        <w:t>ах</w:t>
      </w:r>
      <w:r w:rsidRPr="00673552">
        <w:rPr>
          <w:rFonts w:ascii="Times New Roman" w:hAnsi="Times New Roman"/>
          <w:sz w:val="28"/>
          <w:szCs w:val="28"/>
        </w:rPr>
        <w:t xml:space="preserve"> </w:t>
      </w:r>
      <w:r w:rsidRPr="00E110B5">
        <w:rPr>
          <w:rFonts w:ascii="Times New Roman" w:hAnsi="Times New Roman"/>
          <w:sz w:val="28"/>
          <w:szCs w:val="28"/>
        </w:rPr>
        <w:t>Министерства экономики Кыргызской Республики</w:t>
      </w:r>
      <w:r w:rsidRPr="00673552">
        <w:rPr>
          <w:rFonts w:ascii="Times New Roman" w:hAnsi="Times New Roman"/>
          <w:sz w:val="28"/>
          <w:szCs w:val="28"/>
        </w:rPr>
        <w:t xml:space="preserve">, </w:t>
      </w:r>
      <w:r w:rsidRPr="00673552">
        <w:rPr>
          <w:rFonts w:ascii="Times New Roman" w:hAnsi="Times New Roman"/>
          <w:sz w:val="28"/>
          <w:szCs w:val="28"/>
          <w:lang w:eastAsia="ru-RU"/>
        </w:rPr>
        <w:t>ЦСМ и КЦА;</w:t>
      </w:r>
    </w:p>
    <w:p w:rsidR="00080F23" w:rsidRPr="00673552" w:rsidRDefault="00080F23" w:rsidP="00080F23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73552">
        <w:rPr>
          <w:rFonts w:ascii="Times New Roman" w:hAnsi="Times New Roman" w:cs="Times New Roman"/>
          <w:sz w:val="28"/>
          <w:szCs w:val="28"/>
        </w:rPr>
        <w:lastRenderedPageBreak/>
        <w:t>- информационны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73552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673552">
        <w:rPr>
          <w:rFonts w:ascii="Times New Roman" w:hAnsi="Times New Roman" w:cs="Times New Roman"/>
          <w:sz w:val="28"/>
          <w:szCs w:val="28"/>
        </w:rPr>
        <w:t xml:space="preserve"> ЕАЭС;</w:t>
      </w:r>
    </w:p>
    <w:p w:rsidR="00080F23" w:rsidRPr="00673552" w:rsidRDefault="00080F23" w:rsidP="00080F23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73552">
        <w:rPr>
          <w:rFonts w:ascii="Times New Roman" w:hAnsi="Times New Roman" w:cs="Times New Roman"/>
          <w:sz w:val="28"/>
          <w:szCs w:val="28"/>
        </w:rPr>
        <w:t>- информационны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73552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673552">
        <w:rPr>
          <w:rFonts w:ascii="Times New Roman" w:hAnsi="Times New Roman" w:cs="Times New Roman"/>
          <w:sz w:val="28"/>
          <w:szCs w:val="28"/>
        </w:rPr>
        <w:t xml:space="preserve"> государственных органов.</w:t>
      </w:r>
    </w:p>
    <w:p w:rsidR="00080F23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F23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8. Ожидаемые результаты</w:t>
      </w:r>
    </w:p>
    <w:p w:rsidR="00080F23" w:rsidRPr="00882520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2"/>
          <w:szCs w:val="28"/>
        </w:rPr>
      </w:pPr>
    </w:p>
    <w:p w:rsidR="00080F23" w:rsidRPr="00807106" w:rsidRDefault="00080F23" w:rsidP="00080F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Реализация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настоящей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Концепции развития НИК позволит достичь следующих результатов:</w:t>
      </w:r>
    </w:p>
    <w:p w:rsidR="00080F23" w:rsidRPr="00807106" w:rsidRDefault="00080F23" w:rsidP="00080F23">
      <w:pPr>
        <w:spacing w:after="0" w:line="240" w:lineRule="auto"/>
        <w:ind w:left="360" w:firstLine="20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д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ля государства:</w:t>
      </w:r>
    </w:p>
    <w:p w:rsidR="00080F23" w:rsidRPr="00807106" w:rsidRDefault="00080F23" w:rsidP="00080F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идентификация курса национальной политики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вязи с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присоединением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ыргызской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еспублики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ЕАЭС; </w:t>
      </w:r>
    </w:p>
    <w:p w:rsidR="00080F23" w:rsidRPr="00807106" w:rsidRDefault="00080F23" w:rsidP="00080F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повышение имиджа страны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развитие НИК на основе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 стандартов и наилучшей практики государственного управления;</w:t>
      </w:r>
    </w:p>
    <w:p w:rsidR="00080F23" w:rsidRPr="00807106" w:rsidRDefault="00080F23" w:rsidP="00080F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содействие росту экономики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и ее модернизации, повышению конкурентоспособности</w:t>
      </w:r>
      <w:r w:rsidRPr="008825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улучшение рейтинга деловой среды;</w:t>
      </w:r>
    </w:p>
    <w:p w:rsidR="00080F23" w:rsidRPr="00807106" w:rsidRDefault="00080F23" w:rsidP="00080F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повышение ответственности производителей за продукцию, размещаемую на рынке;</w:t>
      </w:r>
    </w:p>
    <w:p w:rsidR="00080F23" w:rsidRPr="00807106" w:rsidRDefault="00080F23" w:rsidP="00080F23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снижение уровня коррупции;</w:t>
      </w:r>
    </w:p>
    <w:p w:rsidR="00080F23" w:rsidRPr="00807106" w:rsidRDefault="00080F23" w:rsidP="00080F2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повышение уровня защиты жизни и здоровья людей, охраны окружающей среды, флоры и фауны от потенциально опасного воздействия на них продукции и процессов производства;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создани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условий для участия в международном экономическом, научно-техническом сотрудничестве и торговле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80F23" w:rsidRPr="00807106" w:rsidRDefault="00080F23" w:rsidP="00080F23">
      <w:pPr>
        <w:spacing w:after="0" w:line="240" w:lineRule="auto"/>
        <w:ind w:left="360" w:firstLine="20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д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ля потребителей: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обеспечение безопасности продукции и иных объектов технического регулирования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защита от действий, вводящих в заблуждение;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содействие в компетентном выборе продукции и услуг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3) д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ля производителей/поставщиков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инвесторов, органов по оценке с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оответствия: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установление понятных, прозрачных и предсказуемых правил ведения бизнеса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снижение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рисков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осуществления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предпринимательской деятельности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привлечение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частны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инвестици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80F23" w:rsidRPr="00807106" w:rsidRDefault="00080F23" w:rsidP="00080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повышение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конкурентоспособности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продукции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произведенной в Кыргызской Республике, 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сокращение издержек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процессе</w:t>
      </w: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выхода на зарубежные рынки;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обеспечение признания и доверия к деятельности органов по оценке соответствия и ее результатам как внутри республики, так и за рубежом;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повышение конкурентоспособности продукции и услуг, в том числе оценочных и калибровочных услуг;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доступность актуализированной информации о действующих международных стандартах, технических требованиях к продукции, предъявляемых в странах-импортерах;</w:t>
      </w:r>
    </w:p>
    <w:p w:rsidR="00080F23" w:rsidRPr="00807106" w:rsidRDefault="00080F23" w:rsidP="00080F2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7106">
        <w:rPr>
          <w:rFonts w:ascii="Times New Roman" w:hAnsi="Times New Roman"/>
          <w:color w:val="000000"/>
          <w:sz w:val="28"/>
          <w:szCs w:val="28"/>
          <w:lang w:eastAsia="ru-RU"/>
        </w:rPr>
        <w:t>- повышение степени доверия к качеству услуг по оценке соответствия.</w:t>
      </w:r>
    </w:p>
    <w:p w:rsidR="00080F23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080F23" w:rsidRPr="00807106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9. Финансовые ресурсы и источники</w:t>
      </w:r>
    </w:p>
    <w:p w:rsidR="00080F23" w:rsidRPr="00807106" w:rsidRDefault="00080F23" w:rsidP="00080F23">
      <w:pPr>
        <w:pStyle w:val="tkTekst"/>
        <w:spacing w:after="0" w:line="240" w:lineRule="auto"/>
        <w:rPr>
          <w:sz w:val="28"/>
          <w:szCs w:val="28"/>
        </w:rPr>
      </w:pPr>
    </w:p>
    <w:p w:rsidR="00080F23" w:rsidRPr="00807106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в рамках настоящей Концепции будет осуществляться в пределах средств, предусмотренных государственным органам и учреждениям, а также за счет грантов Российской Федерации и Республики Казахстан, предусмотренных в рамках оказания технического содействия Кыргызской Республике в процессе присоединения к </w:t>
      </w:r>
      <w:r>
        <w:rPr>
          <w:rFonts w:ascii="Times New Roman" w:hAnsi="Times New Roman" w:cs="Times New Roman"/>
          <w:sz w:val="28"/>
          <w:szCs w:val="28"/>
        </w:rPr>
        <w:t>ЕАЭС</w:t>
      </w:r>
      <w:r w:rsidRPr="00807106">
        <w:rPr>
          <w:rFonts w:ascii="Times New Roman" w:hAnsi="Times New Roman" w:cs="Times New Roman"/>
          <w:sz w:val="28"/>
          <w:szCs w:val="28"/>
        </w:rPr>
        <w:t>.</w:t>
      </w:r>
    </w:p>
    <w:p w:rsidR="00080F23" w:rsidRPr="00807106" w:rsidRDefault="00080F23" w:rsidP="00080F23">
      <w:pPr>
        <w:pStyle w:val="tkZagolovok3"/>
        <w:spacing w:before="0" w:after="0" w:line="240" w:lineRule="auto"/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807106">
        <w:rPr>
          <w:rFonts w:ascii="Times New Roman" w:hAnsi="Times New Roman" w:cs="Times New Roman"/>
          <w:b w:val="0"/>
          <w:sz w:val="28"/>
          <w:szCs w:val="28"/>
        </w:rPr>
        <w:t>ля эффективно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807106">
        <w:rPr>
          <w:rFonts w:ascii="Times New Roman" w:hAnsi="Times New Roman" w:cs="Times New Roman"/>
          <w:b w:val="0"/>
          <w:sz w:val="28"/>
          <w:szCs w:val="28"/>
        </w:rPr>
        <w:t xml:space="preserve"> решения поставленных задач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настоящей </w:t>
      </w:r>
      <w:r w:rsidRPr="00807106">
        <w:rPr>
          <w:rFonts w:ascii="Times New Roman" w:hAnsi="Times New Roman" w:cs="Times New Roman"/>
          <w:b w:val="0"/>
          <w:sz w:val="28"/>
          <w:szCs w:val="28"/>
        </w:rPr>
        <w:t xml:space="preserve">Концепции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необходима </w:t>
      </w:r>
      <w:r w:rsidRPr="00807106">
        <w:rPr>
          <w:rFonts w:ascii="Times New Roman" w:hAnsi="Times New Roman" w:cs="Times New Roman"/>
          <w:b w:val="0"/>
          <w:sz w:val="28"/>
          <w:szCs w:val="28"/>
        </w:rPr>
        <w:t xml:space="preserve">мобилизация ресурсов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807106">
        <w:rPr>
          <w:rFonts w:ascii="Times New Roman" w:hAnsi="Times New Roman" w:cs="Times New Roman"/>
          <w:b w:val="0"/>
          <w:sz w:val="28"/>
          <w:szCs w:val="28"/>
        </w:rPr>
        <w:t xml:space="preserve"> привлечени</w:t>
      </w:r>
      <w:r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807106">
        <w:rPr>
          <w:rFonts w:ascii="Times New Roman" w:hAnsi="Times New Roman" w:cs="Times New Roman"/>
          <w:b w:val="0"/>
          <w:sz w:val="28"/>
          <w:szCs w:val="28"/>
        </w:rPr>
        <w:t xml:space="preserve"> доноров и международных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агентств развития. </w:t>
      </w:r>
    </w:p>
    <w:p w:rsidR="00080F23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080F23" w:rsidRPr="00807106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10. Мониторинг и оценка</w:t>
      </w:r>
    </w:p>
    <w:p w:rsidR="00080F23" w:rsidRPr="00807106" w:rsidRDefault="00080F23" w:rsidP="00080F23">
      <w:pPr>
        <w:pStyle w:val="tkZagolovok3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</w:p>
    <w:p w:rsidR="00080F23" w:rsidRPr="00807106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В целях практической реализации настоящей Концепции будет разработан и утвержден План мероприятий (далее - План), предусматривающий реализацию конкретных мер, ответственных исполнителей и сроки их выполнения. Реализация мероприятий Плана будет осуществляться за счет средств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7106">
        <w:rPr>
          <w:rFonts w:ascii="Times New Roman" w:hAnsi="Times New Roman" w:cs="Times New Roman"/>
          <w:sz w:val="28"/>
          <w:szCs w:val="28"/>
        </w:rPr>
        <w:t xml:space="preserve"> предусмотренных в рамках</w:t>
      </w:r>
      <w:r w:rsidRPr="0080710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B054B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B054B">
        <w:rPr>
          <w:rFonts w:ascii="Times New Roman" w:hAnsi="Times New Roman" w:cs="Times New Roman"/>
          <w:sz w:val="28"/>
          <w:szCs w:val="28"/>
        </w:rPr>
        <w:t xml:space="preserve"> между Правительством Кыргызской Республики и Правительством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054B">
        <w:rPr>
          <w:rFonts w:ascii="Times New Roman" w:hAnsi="Times New Roman" w:cs="Times New Roman"/>
          <w:sz w:val="28"/>
          <w:szCs w:val="28"/>
        </w:rPr>
        <w:t>Правительством Кыргызской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и Правительством Республики Казахстан </w:t>
      </w:r>
      <w:r w:rsidRPr="000B054B">
        <w:rPr>
          <w:rFonts w:ascii="Times New Roman" w:hAnsi="Times New Roman" w:cs="Times New Roman"/>
          <w:sz w:val="28"/>
          <w:szCs w:val="28"/>
        </w:rPr>
        <w:t>об оказании технического содействия Кыргызской Республике в рамках процесса присоединения к Евразийскому экономическому союзу, донорских средств, а также за счет предусмотренных бюджетных ассигнований, выделяемых для</w:t>
      </w:r>
      <w:r w:rsidRPr="00807106">
        <w:rPr>
          <w:rFonts w:ascii="Times New Roman" w:hAnsi="Times New Roman" w:cs="Times New Roman"/>
          <w:sz w:val="28"/>
          <w:szCs w:val="28"/>
        </w:rPr>
        <w:t xml:space="preserve"> осуществления деятельности соответствующего государственного органа.</w:t>
      </w:r>
    </w:p>
    <w:p w:rsidR="00080F23" w:rsidRPr="00807106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Регулярный мониторинг и оценка выполнения конкретных мер по реализации настоящей Концепции станут эффективным инструментом отслеживания прогресса ее реализации, который позволит:</w:t>
      </w:r>
    </w:p>
    <w:p w:rsidR="00080F23" w:rsidRPr="00807106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- принимать упредительные решения по внесению корректировок в процесс продвижения приоритетов настоящей Концепции;</w:t>
      </w:r>
    </w:p>
    <w:p w:rsidR="00080F23" w:rsidRPr="00807106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>- производить оценку их воздействия на экономическое развитие страны. Уполномоченным государственным органом будут регулярно осуществляться мониторинг, анализ процессов реализации Концепции и Плана мероприятий и на их основе будут вноситься соответствующие предложения.</w:t>
      </w:r>
    </w:p>
    <w:p w:rsidR="00080F23" w:rsidRDefault="00080F23" w:rsidP="00080F2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7106">
        <w:rPr>
          <w:rFonts w:ascii="Times New Roman" w:hAnsi="Times New Roman" w:cs="Times New Roman"/>
          <w:sz w:val="28"/>
          <w:szCs w:val="28"/>
        </w:rPr>
        <w:t xml:space="preserve">На основании полученных результатов будут приниматься оперативные решения по выбору альтернативных возможностей с </w:t>
      </w:r>
      <w:r w:rsidRPr="00807106">
        <w:rPr>
          <w:rFonts w:ascii="Times New Roman" w:hAnsi="Times New Roman" w:cs="Times New Roman"/>
          <w:sz w:val="28"/>
          <w:szCs w:val="28"/>
        </w:rPr>
        <w:lastRenderedPageBreak/>
        <w:t>последующими шагами их реализации, перераспределению ресурсов и их оптимальному использованию, улучшению координации усилий с донорским сообществом и более полному удовлетворению ожиданий бизнес-сообществ.</w:t>
      </w:r>
    </w:p>
    <w:p w:rsidR="00080F23" w:rsidRPr="00807106" w:rsidRDefault="00080F23" w:rsidP="00080F23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080F23" w:rsidRDefault="00080F23" w:rsidP="00080F23">
      <w:pPr>
        <w:pStyle w:val="tkZagolovok3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080F23" w:rsidRDefault="00080F23" w:rsidP="00080F23">
      <w:pPr>
        <w:spacing w:before="200"/>
        <w:ind w:left="1134" w:right="113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594771">
        <w:rPr>
          <w:rFonts w:ascii="Times New Roman" w:hAnsi="Times New Roman"/>
          <w:b/>
          <w:bCs/>
          <w:sz w:val="28"/>
          <w:szCs w:val="24"/>
          <w:lang w:eastAsia="ru-RU"/>
        </w:rPr>
        <w:lastRenderedPageBreak/>
        <w:t>Список сокращений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/>
      </w:tblPr>
      <w:tblGrid>
        <w:gridCol w:w="2251"/>
        <w:gridCol w:w="310"/>
        <w:gridCol w:w="6509"/>
      </w:tblGrid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145D">
              <w:rPr>
                <w:rFonts w:ascii="Times New Roman" w:hAnsi="Times New Roman"/>
                <w:sz w:val="28"/>
                <w:szCs w:val="28"/>
                <w:lang w:eastAsia="ru-RU"/>
              </w:rPr>
              <w:t>НИК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594771" w:rsidRDefault="00080F23" w:rsidP="00582A64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5145D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ая</w:t>
            </w:r>
            <w:r w:rsidRPr="005514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инфраструктура качества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r w:rsidRPr="007E38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СФС 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477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594771" w:rsidRDefault="00080F23" w:rsidP="00582A64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7E38EB">
              <w:rPr>
                <w:rFonts w:ascii="Times New Roman" w:hAnsi="Times New Roman"/>
                <w:sz w:val="28"/>
                <w:szCs w:val="28"/>
                <w:lang w:eastAsia="ru-RU"/>
              </w:rPr>
              <w:t>анитарные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ветеринарно-санитарные </w:t>
            </w:r>
            <w:r w:rsidRPr="007E38EB">
              <w:rPr>
                <w:rFonts w:ascii="Times New Roman" w:hAnsi="Times New Roman"/>
                <w:sz w:val="28"/>
                <w:szCs w:val="28"/>
                <w:lang w:eastAsia="ru-RU"/>
              </w:rPr>
              <w:t>и фитосанитарные меры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ХАССП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23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477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0F23" w:rsidRPr="00594771" w:rsidRDefault="00080F23" w:rsidP="00582A64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4771">
              <w:rPr>
                <w:rFonts w:ascii="Times New Roman" w:hAnsi="Times New Roman"/>
                <w:sz w:val="28"/>
                <w:szCs w:val="28"/>
                <w:lang w:eastAsia="ru-RU"/>
              </w:rPr>
              <w:t>ХАССП (англ. Hazard Analysis and Critical Control Points (HACCP) - анализ рисков и критические контрольные точки) - концепция, предусматривающая систематическую идентификацию, оценку и управление опасными факторами, существенно влияющими на безопасность продукции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38EB">
              <w:rPr>
                <w:rFonts w:ascii="Times New Roman" w:hAnsi="Times New Roman"/>
                <w:sz w:val="28"/>
                <w:szCs w:val="28"/>
                <w:lang w:eastAsia="ru-RU"/>
              </w:rPr>
              <w:t>ВТО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477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0F23" w:rsidRPr="00594771" w:rsidRDefault="00080F23" w:rsidP="00582A64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38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Всемирная торговая организация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38EB">
              <w:rPr>
                <w:rFonts w:ascii="Times New Roman" w:hAnsi="Times New Roman"/>
                <w:sz w:val="28"/>
                <w:szCs w:val="28"/>
                <w:lang w:eastAsia="ru-RU"/>
              </w:rPr>
              <w:t>ЕАЭС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477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0F23" w:rsidRPr="00594771" w:rsidRDefault="00080F23" w:rsidP="00582A64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38EB">
              <w:rPr>
                <w:rFonts w:ascii="Times New Roman" w:hAnsi="Times New Roman"/>
                <w:sz w:val="28"/>
                <w:szCs w:val="28"/>
                <w:lang w:eastAsia="ru-RU"/>
              </w:rPr>
              <w:t>Евразийский экономический союз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38EB">
              <w:rPr>
                <w:rFonts w:ascii="Times New Roman" w:hAnsi="Times New Roman"/>
                <w:sz w:val="28"/>
                <w:szCs w:val="28"/>
                <w:lang w:eastAsia="ru-RU"/>
              </w:rPr>
              <w:t>СНГ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477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0F23" w:rsidRPr="00594771" w:rsidRDefault="00080F23" w:rsidP="00582A64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38EB">
              <w:rPr>
                <w:rStyle w:val="apple-style-span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Содр</w:t>
            </w:r>
            <w:r>
              <w:rPr>
                <w:rStyle w:val="apple-style-span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у</w:t>
            </w:r>
            <w:r w:rsidRPr="007E38EB">
              <w:rPr>
                <w:rStyle w:val="apple-style-span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жество Незав</w:t>
            </w:r>
            <w:r>
              <w:rPr>
                <w:rStyle w:val="apple-style-span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и</w:t>
            </w:r>
            <w:r w:rsidRPr="007E38EB">
              <w:rPr>
                <w:rStyle w:val="apple-style-span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симых Госуд</w:t>
            </w:r>
            <w:r>
              <w:rPr>
                <w:rStyle w:val="apple-style-span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а</w:t>
            </w:r>
            <w:r w:rsidRPr="007E38EB">
              <w:rPr>
                <w:rStyle w:val="apple-style-span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рств</w:t>
            </w:r>
            <w:r>
              <w:rPr>
                <w:rStyle w:val="apple-style-span"/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ЕврАзЭС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94771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080F23" w:rsidRPr="00594771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E38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Евраз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7E38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йское эконом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7E38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ческое со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7E38E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бщество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ЕЭК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Евразийская экономическая комиссия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МГС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Межгосударственный совет по стандартизации, метрологии и сертификации СНГ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МЭ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Министерство экономики Кыргызской Республики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ГОСТ 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Межгосударственный стандарт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ГОСТ Р 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Национальный стандарт Российской Федерации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КМС</w:t>
            </w:r>
            <w:r w:rsidRPr="00162E4F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Национальный стандарт Кыргызкой Республики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ISO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Международная организация по стандартизации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IE</w:t>
            </w:r>
            <w:r w:rsidRPr="00162E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Международная электротехническая комиссия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МЭБ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54E4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Международное эпизоотическое бюро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МОЗМ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B54E4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Международная организация по законодательной метрологии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FE0387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ILAC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Международное сотрудничество по аккредитации лабораторий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КЦА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Кыргызский центр аккредитации при Министерстве экономики Кыргызской Республики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063D02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ЦСМ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Центр по стандартизации и метрологии при Министерстве экономики Кыргызской Республики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IAF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Международный форум по аккредитации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ЕЭК ООН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</w:t>
            </w:r>
            <w:r w:rsidRPr="00B54E4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егиональная организация Экономического и Социального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B54E4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овета ООН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ИСО/МЭК 17020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Межгосударственный стандарт «Общие требования к компетенции испытательных и калибровочных лабораторий»</w:t>
            </w:r>
          </w:p>
        </w:tc>
      </w:tr>
      <w:tr w:rsidR="00080F23" w:rsidRPr="007E38EB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ИСО/МЭК 17011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Межгосударственный стандарт </w:t>
            </w:r>
            <w:r w:rsidRPr="0055145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«Оценка соответствия. Общие требования к органам по </w:t>
            </w:r>
            <w:r w:rsidRPr="0055145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аккредитации, аккредитующим органы по оценке соответствия»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ВОЗ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A226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Всем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DA226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рная организ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DA226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ция здравоохран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</w:t>
            </w:r>
            <w:r w:rsidRPr="00DA226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ния </w:t>
            </w:r>
          </w:p>
        </w:tc>
      </w:tr>
      <w:tr w:rsidR="00080F23" w:rsidRPr="00594771" w:rsidTr="00582A64">
        <w:tc>
          <w:tcPr>
            <w:tcW w:w="2251" w:type="dxa"/>
            <w:noWrap/>
            <w:tcMar>
              <w:top w:w="0" w:type="dxa"/>
              <w:left w:w="567" w:type="dxa"/>
              <w:bottom w:w="0" w:type="dxa"/>
              <w:right w:w="108" w:type="dxa"/>
            </w:tcMar>
          </w:tcPr>
          <w:p w:rsidR="00080F23" w:rsidRPr="00162E4F" w:rsidRDefault="00080F23" w:rsidP="00582A64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62E4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ФАО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0F23" w:rsidRPr="00594771" w:rsidRDefault="00080F23" w:rsidP="00582A64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080F23" w:rsidRPr="007E38EB" w:rsidRDefault="00080F23" w:rsidP="00582A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Продовольственная и сельскохозяйственная организация ООН</w:t>
            </w:r>
          </w:p>
        </w:tc>
      </w:tr>
    </w:tbl>
    <w:p w:rsidR="00080F23" w:rsidRPr="007E38EB" w:rsidRDefault="00080F23" w:rsidP="00080F23">
      <w:pPr>
        <w:pStyle w:val="tkZagolovok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F23" w:rsidRPr="007E38EB" w:rsidRDefault="00080F23" w:rsidP="00080F23">
      <w:pPr>
        <w:pStyle w:val="tkZagolovok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F23" w:rsidRPr="007E38EB" w:rsidRDefault="00080F23" w:rsidP="00080F23">
      <w:pPr>
        <w:pStyle w:val="tkZagolovok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F23" w:rsidRPr="007E38EB" w:rsidRDefault="00080F23" w:rsidP="00080F23">
      <w:pPr>
        <w:pStyle w:val="tkZagolovok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F23" w:rsidRPr="007E38EB" w:rsidRDefault="00080F23" w:rsidP="00080F23">
      <w:pPr>
        <w:pStyle w:val="tkZagolovok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F23" w:rsidRPr="007E38EB" w:rsidRDefault="00080F23" w:rsidP="00080F23">
      <w:pPr>
        <w:pStyle w:val="tkZagolovok2"/>
        <w:spacing w:before="0" w:after="0" w:line="240" w:lineRule="auto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 w:rsidRPr="007E3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868" w:rsidRDefault="00863868"/>
    <w:sectPr w:rsidR="00863868" w:rsidSect="00882520">
      <w:footerReference w:type="default" r:id="rId7"/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Georg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FD" w:rsidRPr="008E20FD" w:rsidRDefault="00080F23">
    <w:pPr>
      <w:pStyle w:val="a5"/>
      <w:jc w:val="center"/>
      <w:rPr>
        <w:rFonts w:ascii="Times New Roman" w:hAnsi="Times New Roman"/>
      </w:rPr>
    </w:pPr>
    <w:r w:rsidRPr="008E20FD">
      <w:rPr>
        <w:rFonts w:ascii="Times New Roman" w:hAnsi="Times New Roman"/>
      </w:rPr>
      <w:fldChar w:fldCharType="begin"/>
    </w:r>
    <w:r w:rsidRPr="008E20FD">
      <w:rPr>
        <w:rFonts w:ascii="Times New Roman" w:hAnsi="Times New Roman"/>
      </w:rPr>
      <w:instrText>PAGE   \* MERGEFORMAT</w:instrText>
    </w:r>
    <w:r w:rsidRPr="008E20FD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22</w:t>
    </w:r>
    <w:r w:rsidRPr="008E20FD">
      <w:rPr>
        <w:rFonts w:ascii="Times New Roman" w:hAnsi="Times New Roman"/>
      </w:rPr>
      <w:fldChar w:fldCharType="end"/>
    </w:r>
  </w:p>
  <w:p w:rsidR="008E20FD" w:rsidRDefault="00080F23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227"/>
    <w:multiLevelType w:val="hybridMultilevel"/>
    <w:tmpl w:val="75E07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254BC"/>
    <w:multiLevelType w:val="hybridMultilevel"/>
    <w:tmpl w:val="DDE403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5C7941"/>
    <w:multiLevelType w:val="hybridMultilevel"/>
    <w:tmpl w:val="06EA8A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9F1B33"/>
    <w:multiLevelType w:val="hybridMultilevel"/>
    <w:tmpl w:val="5B484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2408F"/>
    <w:multiLevelType w:val="hybridMultilevel"/>
    <w:tmpl w:val="CE16B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86583"/>
    <w:multiLevelType w:val="hybridMultilevel"/>
    <w:tmpl w:val="61185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3766A"/>
    <w:multiLevelType w:val="hybridMultilevel"/>
    <w:tmpl w:val="08CE1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2300C"/>
    <w:multiLevelType w:val="hybridMultilevel"/>
    <w:tmpl w:val="F3E8C8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5C7982"/>
    <w:multiLevelType w:val="hybridMultilevel"/>
    <w:tmpl w:val="7DF48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7067C1"/>
    <w:multiLevelType w:val="hybridMultilevel"/>
    <w:tmpl w:val="35AC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F72EB"/>
    <w:multiLevelType w:val="hybridMultilevel"/>
    <w:tmpl w:val="FA288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2137D1"/>
    <w:multiLevelType w:val="hybridMultilevel"/>
    <w:tmpl w:val="FD1CC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A3909"/>
    <w:multiLevelType w:val="hybridMultilevel"/>
    <w:tmpl w:val="9F3EA5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B04140"/>
    <w:multiLevelType w:val="hybridMultilevel"/>
    <w:tmpl w:val="ECD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F65E4"/>
    <w:multiLevelType w:val="hybridMultilevel"/>
    <w:tmpl w:val="459A9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50508D"/>
    <w:multiLevelType w:val="hybridMultilevel"/>
    <w:tmpl w:val="019054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761529"/>
    <w:multiLevelType w:val="hybridMultilevel"/>
    <w:tmpl w:val="0276C0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B92FFA"/>
    <w:multiLevelType w:val="hybridMultilevel"/>
    <w:tmpl w:val="850469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04B31EC"/>
    <w:multiLevelType w:val="hybridMultilevel"/>
    <w:tmpl w:val="F44E0E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85524D"/>
    <w:multiLevelType w:val="hybridMultilevel"/>
    <w:tmpl w:val="21981D6C"/>
    <w:lvl w:ilvl="0" w:tplc="7AA2367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5C6A56"/>
    <w:multiLevelType w:val="hybridMultilevel"/>
    <w:tmpl w:val="ABD0D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B56A8"/>
    <w:multiLevelType w:val="hybridMultilevel"/>
    <w:tmpl w:val="47A4BA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DE3409C"/>
    <w:multiLevelType w:val="hybridMultilevel"/>
    <w:tmpl w:val="49B8AB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FE5F3A"/>
    <w:multiLevelType w:val="hybridMultilevel"/>
    <w:tmpl w:val="C1B4C0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692E5C"/>
    <w:multiLevelType w:val="hybridMultilevel"/>
    <w:tmpl w:val="6D6AF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5E79BD"/>
    <w:multiLevelType w:val="hybridMultilevel"/>
    <w:tmpl w:val="2F74EA7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503372"/>
    <w:multiLevelType w:val="hybridMultilevel"/>
    <w:tmpl w:val="CCDCD1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853306"/>
    <w:multiLevelType w:val="hybridMultilevel"/>
    <w:tmpl w:val="76D092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9936B1"/>
    <w:multiLevelType w:val="hybridMultilevel"/>
    <w:tmpl w:val="9626B1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2C00D9"/>
    <w:multiLevelType w:val="hybridMultilevel"/>
    <w:tmpl w:val="532887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45972B7"/>
    <w:multiLevelType w:val="hybridMultilevel"/>
    <w:tmpl w:val="56E85B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C42B0C"/>
    <w:multiLevelType w:val="hybridMultilevel"/>
    <w:tmpl w:val="F34069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EC69C8"/>
    <w:multiLevelType w:val="hybridMultilevel"/>
    <w:tmpl w:val="34B695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4AB09E5"/>
    <w:multiLevelType w:val="hybridMultilevel"/>
    <w:tmpl w:val="943C3D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5726FAC"/>
    <w:multiLevelType w:val="hybridMultilevel"/>
    <w:tmpl w:val="770C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8F70116"/>
    <w:multiLevelType w:val="hybridMultilevel"/>
    <w:tmpl w:val="C654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9241D22"/>
    <w:multiLevelType w:val="hybridMultilevel"/>
    <w:tmpl w:val="BE3814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CEC388D"/>
    <w:multiLevelType w:val="hybridMultilevel"/>
    <w:tmpl w:val="8748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365CE2"/>
    <w:multiLevelType w:val="hybridMultilevel"/>
    <w:tmpl w:val="F33AA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5D31AA"/>
    <w:multiLevelType w:val="hybridMultilevel"/>
    <w:tmpl w:val="1A768F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7"/>
  </w:num>
  <w:num w:numId="3">
    <w:abstractNumId w:val="27"/>
  </w:num>
  <w:num w:numId="4">
    <w:abstractNumId w:val="26"/>
  </w:num>
  <w:num w:numId="5">
    <w:abstractNumId w:val="12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22"/>
  </w:num>
  <w:num w:numId="12">
    <w:abstractNumId w:val="23"/>
  </w:num>
  <w:num w:numId="13">
    <w:abstractNumId w:val="15"/>
  </w:num>
  <w:num w:numId="14">
    <w:abstractNumId w:val="14"/>
  </w:num>
  <w:num w:numId="15">
    <w:abstractNumId w:val="31"/>
  </w:num>
  <w:num w:numId="16">
    <w:abstractNumId w:val="33"/>
  </w:num>
  <w:num w:numId="17">
    <w:abstractNumId w:val="34"/>
  </w:num>
  <w:num w:numId="18">
    <w:abstractNumId w:val="36"/>
  </w:num>
  <w:num w:numId="19">
    <w:abstractNumId w:val="30"/>
  </w:num>
  <w:num w:numId="20">
    <w:abstractNumId w:val="8"/>
  </w:num>
  <w:num w:numId="21">
    <w:abstractNumId w:val="16"/>
  </w:num>
  <w:num w:numId="22">
    <w:abstractNumId w:val="7"/>
  </w:num>
  <w:num w:numId="23">
    <w:abstractNumId w:val="20"/>
  </w:num>
  <w:num w:numId="24">
    <w:abstractNumId w:val="0"/>
  </w:num>
  <w:num w:numId="25">
    <w:abstractNumId w:val="6"/>
  </w:num>
  <w:num w:numId="26">
    <w:abstractNumId w:val="11"/>
  </w:num>
  <w:num w:numId="27">
    <w:abstractNumId w:val="29"/>
  </w:num>
  <w:num w:numId="28">
    <w:abstractNumId w:val="18"/>
  </w:num>
  <w:num w:numId="29">
    <w:abstractNumId w:val="39"/>
  </w:num>
  <w:num w:numId="30">
    <w:abstractNumId w:val="28"/>
  </w:num>
  <w:num w:numId="31">
    <w:abstractNumId w:val="37"/>
  </w:num>
  <w:num w:numId="32">
    <w:abstractNumId w:val="32"/>
  </w:num>
  <w:num w:numId="33">
    <w:abstractNumId w:val="2"/>
  </w:num>
  <w:num w:numId="34">
    <w:abstractNumId w:val="25"/>
  </w:num>
  <w:num w:numId="35">
    <w:abstractNumId w:val="19"/>
  </w:num>
  <w:num w:numId="36">
    <w:abstractNumId w:val="35"/>
  </w:num>
  <w:num w:numId="37">
    <w:abstractNumId w:val="13"/>
  </w:num>
  <w:num w:numId="38">
    <w:abstractNumId w:val="10"/>
  </w:num>
  <w:num w:numId="39">
    <w:abstractNumId w:val="24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0F23"/>
    <w:rsid w:val="00080F23"/>
    <w:rsid w:val="0086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F2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80F2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F2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tkZagolovok3">
    <w:name w:val="_Заголовок Глава (tkZagolovok3)"/>
    <w:basedOn w:val="a"/>
    <w:rsid w:val="00080F23"/>
    <w:pPr>
      <w:spacing w:before="200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080F23"/>
    <w:pPr>
      <w:spacing w:before="400" w:after="400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080F23"/>
    <w:pPr>
      <w:spacing w:after="6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080F23"/>
    <w:pPr>
      <w:spacing w:before="200"/>
      <w:jc w:val="center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080F23"/>
    <w:pPr>
      <w:spacing w:after="60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080F23"/>
    <w:pPr>
      <w:ind w:left="1134" w:right="1134"/>
      <w:jc w:val="center"/>
    </w:pPr>
    <w:rPr>
      <w:rFonts w:ascii="Arial" w:hAnsi="Arial" w:cs="Arial"/>
      <w:b/>
      <w:bCs/>
      <w:cap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80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0F2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80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0F23"/>
    <w:rPr>
      <w:rFonts w:ascii="Calibri" w:eastAsia="Times New Roman" w:hAnsi="Calibri" w:cs="Times New Roman"/>
    </w:rPr>
  </w:style>
  <w:style w:type="paragraph" w:customStyle="1" w:styleId="tkZagolovok4">
    <w:name w:val="_Заголовок Параграф (tkZagolovok4)"/>
    <w:basedOn w:val="a"/>
    <w:rsid w:val="00080F23"/>
    <w:pPr>
      <w:spacing w:before="200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Zagolovok2">
    <w:name w:val="_Заголовок Раздел (tkZagolovok2)"/>
    <w:basedOn w:val="a"/>
    <w:rsid w:val="00080F23"/>
    <w:pPr>
      <w:spacing w:before="200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80F23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080F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0F23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080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8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080F23"/>
    <w:rPr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80F23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080F23"/>
    <w:rPr>
      <w:rFonts w:cs="Times New Roman"/>
      <w:vertAlign w:val="superscript"/>
    </w:rPr>
  </w:style>
  <w:style w:type="character" w:customStyle="1" w:styleId="apple-style-span">
    <w:name w:val="apple-style-span"/>
    <w:rsid w:val="00080F23"/>
  </w:style>
  <w:style w:type="character" w:styleId="ae">
    <w:name w:val="Hyperlink"/>
    <w:basedOn w:val="a0"/>
    <w:uiPriority w:val="99"/>
    <w:unhideWhenUsed/>
    <w:rsid w:val="00080F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68691/" TargetMode="External"/><Relationship Id="rId5" Type="http://schemas.openxmlformats.org/officeDocument/2006/relationships/hyperlink" Target="http://www.consultant.ru/document/cons_doc_LAW_168691/?frame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6584</Words>
  <Characters>37531</Characters>
  <Application>Microsoft Office Word</Application>
  <DocSecurity>0</DocSecurity>
  <Lines>312</Lines>
  <Paragraphs>88</Paragraphs>
  <ScaleCrop>false</ScaleCrop>
  <Company>Microsoft</Company>
  <LinksUpToDate>false</LinksUpToDate>
  <CharactersWithSpaces>44027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2016-06-22T12:37:00Z</dcterms:created>
  <dcterms:modified xsi:type="dcterms:W3CDTF">2016-06-22T12:37:00Z</dcterms:modified>
</cp:coreProperties>
</file>